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B2" w:rsidRDefault="00FA2799" w:rsidP="00CF68B2">
      <w:pPr>
        <w:pStyle w:val="Heading1"/>
        <w:spacing w:before="52"/>
        <w:ind w:left="1291"/>
        <w:rPr>
          <w:rFonts w:ascii="Calibri"/>
          <w:u w:val="none"/>
        </w:rPr>
      </w:pPr>
      <w:bookmarkStart w:id="0" w:name="_GoBack"/>
      <w:bookmarkEnd w:id="0"/>
      <w:r>
        <w:rPr>
          <w:rFonts w:ascii="Calibri"/>
          <w:u w:val="none"/>
        </w:rPr>
        <w:t>S</w:t>
      </w:r>
      <w:r w:rsidR="00CF68B2">
        <w:rPr>
          <w:rFonts w:ascii="Calibri"/>
          <w:u w:val="none"/>
        </w:rPr>
        <w:t>upplement, Not Supplant Under the Every Student Succeeds Act: Demonstration of Compliance</w:t>
      </w:r>
    </w:p>
    <w:p w:rsidR="00CF68B2" w:rsidRDefault="00CF68B2" w:rsidP="00CF68B2">
      <w:pPr>
        <w:pStyle w:val="BodyText"/>
        <w:spacing w:before="7"/>
        <w:rPr>
          <w:b/>
          <w:sz w:val="21"/>
        </w:rPr>
      </w:pPr>
    </w:p>
    <w:p w:rsidR="00CF68B2" w:rsidRDefault="00CF68B2" w:rsidP="00CF68B2">
      <w:pPr>
        <w:pStyle w:val="Heading2"/>
        <w:tabs>
          <w:tab w:val="left" w:pos="6526"/>
          <w:tab w:val="left" w:pos="7201"/>
          <w:tab w:val="left" w:pos="10847"/>
        </w:tabs>
        <w:spacing w:before="1"/>
        <w:ind w:left="720"/>
      </w:pPr>
      <w:r>
        <w:t>LEA</w:t>
      </w:r>
      <w:r>
        <w:rPr>
          <w:spacing w:val="-2"/>
        </w:rPr>
        <w:t xml:space="preserve"> </w:t>
      </w:r>
      <w:r>
        <w:t>Name:</w:t>
      </w:r>
      <w:r>
        <w:rPr>
          <w:u w:val="single"/>
        </w:rPr>
        <w:t xml:space="preserve"> </w:t>
      </w:r>
      <w:r>
        <w:rPr>
          <w:u w:val="single"/>
        </w:rPr>
        <w:tab/>
      </w:r>
      <w:r>
        <w:tab/>
        <w:t>LEA</w:t>
      </w:r>
      <w:r>
        <w:rPr>
          <w:spacing w:val="-2"/>
        </w:rPr>
        <w:t xml:space="preserve"> </w:t>
      </w:r>
      <w:r>
        <w:t>Code:</w:t>
      </w:r>
      <w:r>
        <w:rPr>
          <w:spacing w:val="-1"/>
        </w:rPr>
        <w:t xml:space="preserve"> </w:t>
      </w:r>
      <w:r>
        <w:rPr>
          <w:u w:val="single"/>
        </w:rPr>
        <w:t xml:space="preserve"> </w:t>
      </w:r>
      <w:r>
        <w:rPr>
          <w:u w:val="single"/>
        </w:rPr>
        <w:tab/>
      </w:r>
    </w:p>
    <w:p w:rsidR="00CF68B2" w:rsidRDefault="00CF68B2" w:rsidP="00CF68B2">
      <w:pPr>
        <w:pStyle w:val="BodyText"/>
        <w:spacing w:before="4"/>
        <w:rPr>
          <w:b/>
          <w:sz w:val="17"/>
        </w:rPr>
      </w:pPr>
    </w:p>
    <w:p w:rsidR="00CF68B2" w:rsidRDefault="00CF68B2" w:rsidP="00CF68B2">
      <w:pPr>
        <w:pStyle w:val="Heading3"/>
        <w:numPr>
          <w:ilvl w:val="0"/>
          <w:numId w:val="5"/>
        </w:numPr>
        <w:tabs>
          <w:tab w:val="left" w:pos="1079"/>
          <w:tab w:val="left" w:pos="1080"/>
        </w:tabs>
        <w:spacing w:before="59"/>
        <w:jc w:val="left"/>
      </w:pPr>
      <w:r>
        <w:rPr>
          <w:u w:val="single"/>
        </w:rPr>
        <w:t>Purpose</w:t>
      </w:r>
    </w:p>
    <w:p w:rsidR="00CF68B2" w:rsidRDefault="00CF68B2" w:rsidP="00CF68B2">
      <w:pPr>
        <w:pStyle w:val="BodyText"/>
        <w:rPr>
          <w:b/>
          <w:sz w:val="10"/>
        </w:rPr>
      </w:pPr>
    </w:p>
    <w:p w:rsidR="00CF68B2" w:rsidRDefault="00CF68B2" w:rsidP="00CF68B2">
      <w:pPr>
        <w:pStyle w:val="BodyText"/>
        <w:spacing w:before="59"/>
        <w:ind w:left="1080" w:right="715"/>
        <w:jc w:val="both"/>
      </w:pPr>
      <w:r>
        <w:t>The purpose of this form is to collect the required information necessary for</w:t>
      </w:r>
      <w:r w:rsidR="00FF1B0D">
        <w:t xml:space="preserve"> the Alabama State Department of Education (</w:t>
      </w:r>
      <w:r>
        <w:t>ALSDE</w:t>
      </w:r>
      <w:r w:rsidR="00FF1B0D">
        <w:t>)</w:t>
      </w:r>
      <w:r>
        <w:t xml:space="preserve"> to verify that each local education agency (LEA) is</w:t>
      </w:r>
      <w:r>
        <w:rPr>
          <w:spacing w:val="-6"/>
        </w:rPr>
        <w:t xml:space="preserve"> </w:t>
      </w:r>
      <w:r>
        <w:t>in</w:t>
      </w:r>
      <w:r>
        <w:rPr>
          <w:spacing w:val="-5"/>
        </w:rPr>
        <w:t xml:space="preserve"> </w:t>
      </w:r>
      <w:r>
        <w:t>compliance</w:t>
      </w:r>
      <w:r>
        <w:rPr>
          <w:spacing w:val="-4"/>
        </w:rPr>
        <w:t xml:space="preserve"> </w:t>
      </w:r>
      <w:r>
        <w:t>with</w:t>
      </w:r>
      <w:r>
        <w:rPr>
          <w:spacing w:val="-4"/>
        </w:rPr>
        <w:t xml:space="preserve"> </w:t>
      </w:r>
      <w:r>
        <w:t>the</w:t>
      </w:r>
      <w:r>
        <w:rPr>
          <w:spacing w:val="-6"/>
        </w:rPr>
        <w:t xml:space="preserve"> </w:t>
      </w:r>
      <w:r>
        <w:t>demonstration</w:t>
      </w:r>
      <w:r>
        <w:rPr>
          <w:spacing w:val="-5"/>
        </w:rPr>
        <w:t xml:space="preserve"> </w:t>
      </w:r>
      <w:r>
        <w:t>requirements</w:t>
      </w:r>
      <w:r>
        <w:rPr>
          <w:spacing w:val="-4"/>
        </w:rPr>
        <w:t xml:space="preserve"> </w:t>
      </w:r>
      <w:r>
        <w:t>regarding</w:t>
      </w:r>
      <w:r>
        <w:rPr>
          <w:spacing w:val="-6"/>
        </w:rPr>
        <w:t xml:space="preserve"> </w:t>
      </w:r>
      <w:r w:rsidR="00FF1B0D">
        <w:rPr>
          <w:spacing w:val="-6"/>
        </w:rPr>
        <w:t>Supplement, Not Supplant (</w:t>
      </w:r>
      <w:r>
        <w:t>SNS</w:t>
      </w:r>
      <w:r w:rsidR="00FF1B0D">
        <w:t>)</w:t>
      </w:r>
      <w:r>
        <w:rPr>
          <w:spacing w:val="-6"/>
        </w:rPr>
        <w:t xml:space="preserve"> </w:t>
      </w:r>
      <w:r>
        <w:t>under</w:t>
      </w:r>
      <w:r>
        <w:rPr>
          <w:spacing w:val="-5"/>
        </w:rPr>
        <w:t xml:space="preserve"> </w:t>
      </w:r>
      <w:r>
        <w:t>the</w:t>
      </w:r>
      <w:r>
        <w:rPr>
          <w:spacing w:val="1"/>
        </w:rPr>
        <w:t xml:space="preserve"> </w:t>
      </w:r>
      <w:r>
        <w:t>Elementary</w:t>
      </w:r>
      <w:r>
        <w:rPr>
          <w:spacing w:val="-5"/>
        </w:rPr>
        <w:t xml:space="preserve"> </w:t>
      </w:r>
      <w:r>
        <w:t>and</w:t>
      </w:r>
      <w:r>
        <w:rPr>
          <w:spacing w:val="-5"/>
        </w:rPr>
        <w:t xml:space="preserve"> </w:t>
      </w:r>
      <w:r>
        <w:t>Secondary</w:t>
      </w:r>
      <w:r>
        <w:rPr>
          <w:spacing w:val="-5"/>
        </w:rPr>
        <w:t xml:space="preserve"> </w:t>
      </w:r>
      <w:r>
        <w:t>Education</w:t>
      </w:r>
      <w:r>
        <w:rPr>
          <w:spacing w:val="-4"/>
        </w:rPr>
        <w:t xml:space="preserve"> </w:t>
      </w:r>
      <w:r>
        <w:t>Act</w:t>
      </w:r>
      <w:r>
        <w:rPr>
          <w:spacing w:val="-5"/>
        </w:rPr>
        <w:t xml:space="preserve"> </w:t>
      </w:r>
      <w:r>
        <w:t>(ESEA), as</w:t>
      </w:r>
      <w:r>
        <w:rPr>
          <w:spacing w:val="-6"/>
        </w:rPr>
        <w:t xml:space="preserve"> </w:t>
      </w:r>
      <w:r>
        <w:t>reauthorized</w:t>
      </w:r>
      <w:r>
        <w:rPr>
          <w:spacing w:val="-5"/>
        </w:rPr>
        <w:t xml:space="preserve"> </w:t>
      </w:r>
      <w:r>
        <w:t>by</w:t>
      </w:r>
      <w:r>
        <w:rPr>
          <w:spacing w:val="-7"/>
        </w:rPr>
        <w:t xml:space="preserve"> </w:t>
      </w:r>
      <w:r>
        <w:t>the</w:t>
      </w:r>
      <w:r>
        <w:rPr>
          <w:spacing w:val="-5"/>
        </w:rPr>
        <w:t xml:space="preserve"> </w:t>
      </w:r>
      <w:r>
        <w:t>Every</w:t>
      </w:r>
      <w:r>
        <w:rPr>
          <w:spacing w:val="-5"/>
        </w:rPr>
        <w:t xml:space="preserve"> </w:t>
      </w:r>
      <w:r>
        <w:t>Student</w:t>
      </w:r>
      <w:r>
        <w:rPr>
          <w:spacing w:val="-5"/>
        </w:rPr>
        <w:t xml:space="preserve"> </w:t>
      </w:r>
      <w:r>
        <w:t>Succeeds</w:t>
      </w:r>
      <w:r>
        <w:rPr>
          <w:spacing w:val="-7"/>
        </w:rPr>
        <w:t xml:space="preserve"> </w:t>
      </w:r>
      <w:r>
        <w:t>Act</w:t>
      </w:r>
      <w:r>
        <w:rPr>
          <w:spacing w:val="-5"/>
        </w:rPr>
        <w:t xml:space="preserve"> </w:t>
      </w:r>
      <w:r>
        <w:t>of</w:t>
      </w:r>
      <w:r>
        <w:rPr>
          <w:spacing w:val="-6"/>
        </w:rPr>
        <w:t xml:space="preserve"> </w:t>
      </w:r>
      <w:r>
        <w:t>2015</w:t>
      </w:r>
      <w:r>
        <w:rPr>
          <w:spacing w:val="-6"/>
        </w:rPr>
        <w:t xml:space="preserve"> </w:t>
      </w:r>
      <w:r>
        <w:t>(ESSA).</w:t>
      </w:r>
      <w:r>
        <w:rPr>
          <w:spacing w:val="35"/>
        </w:rPr>
        <w:t xml:space="preserve"> </w:t>
      </w:r>
      <w:r>
        <w:t>To</w:t>
      </w:r>
      <w:r>
        <w:rPr>
          <w:spacing w:val="-5"/>
        </w:rPr>
        <w:t xml:space="preserve"> </w:t>
      </w:r>
      <w:r>
        <w:t>ensure</w:t>
      </w:r>
      <w:r>
        <w:rPr>
          <w:spacing w:val="-6"/>
        </w:rPr>
        <w:t xml:space="preserve"> </w:t>
      </w:r>
      <w:r>
        <w:t>all</w:t>
      </w:r>
      <w:r>
        <w:rPr>
          <w:spacing w:val="-5"/>
        </w:rPr>
        <w:t xml:space="preserve"> </w:t>
      </w:r>
      <w:r>
        <w:t>LEAs</w:t>
      </w:r>
      <w:r>
        <w:rPr>
          <w:spacing w:val="-7"/>
        </w:rPr>
        <w:t xml:space="preserve"> </w:t>
      </w:r>
      <w:r>
        <w:t>in</w:t>
      </w:r>
      <w:r>
        <w:rPr>
          <w:spacing w:val="-5"/>
        </w:rPr>
        <w:t xml:space="preserve"> </w:t>
      </w:r>
      <w:r w:rsidR="00C0595A">
        <w:t>Alabama</w:t>
      </w:r>
      <w:r>
        <w:rPr>
          <w:spacing w:val="-5"/>
        </w:rPr>
        <w:t xml:space="preserve"> </w:t>
      </w:r>
      <w:r>
        <w:t>meet</w:t>
      </w:r>
      <w:r>
        <w:rPr>
          <w:spacing w:val="-5"/>
        </w:rPr>
        <w:t xml:space="preserve"> </w:t>
      </w:r>
      <w:r>
        <w:t>these</w:t>
      </w:r>
      <w:r>
        <w:rPr>
          <w:spacing w:val="-6"/>
        </w:rPr>
        <w:t xml:space="preserve"> </w:t>
      </w:r>
      <w:r>
        <w:t>requirements,</w:t>
      </w:r>
      <w:r>
        <w:rPr>
          <w:spacing w:val="-5"/>
        </w:rPr>
        <w:t xml:space="preserve"> </w:t>
      </w:r>
      <w:r>
        <w:t>each LEA must submit the following:</w:t>
      </w:r>
    </w:p>
    <w:p w:rsidR="00CF68B2" w:rsidRDefault="00CF68B2" w:rsidP="00CF68B2">
      <w:pPr>
        <w:pStyle w:val="BodyText"/>
        <w:spacing w:before="9"/>
        <w:rPr>
          <w:sz w:val="14"/>
        </w:rPr>
      </w:pPr>
    </w:p>
    <w:p w:rsidR="00CF68B2" w:rsidRDefault="00CF68B2" w:rsidP="00CF68B2">
      <w:pPr>
        <w:pStyle w:val="ListParagraph"/>
        <w:numPr>
          <w:ilvl w:val="1"/>
          <w:numId w:val="5"/>
        </w:numPr>
        <w:tabs>
          <w:tab w:val="left" w:pos="1441"/>
        </w:tabs>
        <w:ind w:right="717" w:hanging="360"/>
        <w:rPr>
          <w:sz w:val="20"/>
        </w:rPr>
      </w:pPr>
      <w:r>
        <w:rPr>
          <w:sz w:val="20"/>
        </w:rPr>
        <w:t>An assurance stating the LEA is in compliance with the provisions of section 1118(b) of the Elementary and Secondary Education Act (ESEA), as reauthorized by the Every Student Succeeds Act of 2015</w:t>
      </w:r>
      <w:r>
        <w:rPr>
          <w:spacing w:val="-10"/>
          <w:sz w:val="20"/>
        </w:rPr>
        <w:t xml:space="preserve"> </w:t>
      </w:r>
      <w:r>
        <w:rPr>
          <w:sz w:val="20"/>
        </w:rPr>
        <w:t>(ESSA);</w:t>
      </w:r>
    </w:p>
    <w:p w:rsidR="00CF68B2" w:rsidRDefault="00CF68B2" w:rsidP="00CF68B2">
      <w:pPr>
        <w:pStyle w:val="ListParagraph"/>
        <w:numPr>
          <w:ilvl w:val="1"/>
          <w:numId w:val="5"/>
        </w:numPr>
        <w:tabs>
          <w:tab w:val="left" w:pos="1441"/>
        </w:tabs>
        <w:spacing w:before="179"/>
        <w:ind w:right="727" w:hanging="360"/>
        <w:rPr>
          <w:sz w:val="20"/>
        </w:rPr>
      </w:pPr>
      <w:r>
        <w:rPr>
          <w:sz w:val="20"/>
        </w:rPr>
        <w:t xml:space="preserve">An indication of the type of methodology the LEA has adopted and is implementing in regard to the allocation of </w:t>
      </w:r>
      <w:r w:rsidR="00473E90">
        <w:rPr>
          <w:sz w:val="20"/>
        </w:rPr>
        <w:t>Foundation Program and local funds</w:t>
      </w:r>
      <w:r>
        <w:rPr>
          <w:sz w:val="20"/>
        </w:rPr>
        <w:t xml:space="preserve"> </w:t>
      </w:r>
      <w:r w:rsidR="00FF1B0D">
        <w:rPr>
          <w:sz w:val="20"/>
        </w:rPr>
        <w:t>(non-Federal)</w:t>
      </w:r>
      <w:r>
        <w:rPr>
          <w:sz w:val="20"/>
        </w:rPr>
        <w:t xml:space="preserve"> to all schools;</w:t>
      </w:r>
      <w:r>
        <w:rPr>
          <w:spacing w:val="-4"/>
          <w:sz w:val="20"/>
        </w:rPr>
        <w:t xml:space="preserve"> </w:t>
      </w:r>
      <w:r>
        <w:rPr>
          <w:sz w:val="20"/>
        </w:rPr>
        <w:t>and,</w:t>
      </w:r>
    </w:p>
    <w:p w:rsidR="00CF68B2" w:rsidRDefault="00CF68B2" w:rsidP="00CF68B2">
      <w:pPr>
        <w:pStyle w:val="BodyText"/>
        <w:spacing w:before="11"/>
        <w:rPr>
          <w:sz w:val="14"/>
        </w:rPr>
      </w:pPr>
    </w:p>
    <w:p w:rsidR="00CF68B2" w:rsidRDefault="00CF68B2" w:rsidP="00CF68B2">
      <w:pPr>
        <w:pStyle w:val="ListParagraph"/>
        <w:numPr>
          <w:ilvl w:val="1"/>
          <w:numId w:val="5"/>
        </w:numPr>
        <w:tabs>
          <w:tab w:val="left" w:pos="1441"/>
        </w:tabs>
        <w:ind w:right="718" w:hanging="360"/>
        <w:rPr>
          <w:sz w:val="20"/>
        </w:rPr>
      </w:pPr>
      <w:r>
        <w:rPr>
          <w:sz w:val="20"/>
        </w:rPr>
        <w:t xml:space="preserve">A narrative description of the methodology </w:t>
      </w:r>
      <w:r>
        <w:rPr>
          <w:i/>
          <w:sz w:val="20"/>
        </w:rPr>
        <w:t xml:space="preserve">or </w:t>
      </w:r>
      <w:r>
        <w:rPr>
          <w:sz w:val="20"/>
        </w:rPr>
        <w:t>a reference to the LEA’s Financial Transparency document in which the methodology is</w:t>
      </w:r>
      <w:r>
        <w:rPr>
          <w:spacing w:val="-2"/>
          <w:sz w:val="20"/>
        </w:rPr>
        <w:t xml:space="preserve"> </w:t>
      </w:r>
      <w:r>
        <w:rPr>
          <w:sz w:val="20"/>
        </w:rPr>
        <w:t>described.</w:t>
      </w:r>
    </w:p>
    <w:p w:rsidR="00CF68B2" w:rsidRDefault="00CF68B2" w:rsidP="00CF68B2">
      <w:pPr>
        <w:spacing w:before="179"/>
        <w:ind w:left="1080" w:right="705"/>
        <w:rPr>
          <w:i/>
          <w:sz w:val="20"/>
        </w:rPr>
      </w:pPr>
      <w:r>
        <w:rPr>
          <w:i/>
          <w:sz w:val="20"/>
        </w:rPr>
        <w:t xml:space="preserve">Note: The LEA is required to provide the demonstration requirements to ALSDE </w:t>
      </w:r>
      <w:r w:rsidRPr="00FF1B0D">
        <w:rPr>
          <w:b/>
          <w:i/>
          <w:sz w:val="20"/>
        </w:rPr>
        <w:t>one time</w:t>
      </w:r>
      <w:r>
        <w:rPr>
          <w:i/>
          <w:sz w:val="20"/>
        </w:rPr>
        <w:t xml:space="preserve"> for the duration of the Title I, Part A program under ESSA, unless the LEA adopts or implements a revised methodology for allocating </w:t>
      </w:r>
      <w:r w:rsidR="00473E90">
        <w:rPr>
          <w:i/>
          <w:sz w:val="20"/>
        </w:rPr>
        <w:t>Foundation Program and local funds</w:t>
      </w:r>
      <w:r>
        <w:rPr>
          <w:i/>
          <w:sz w:val="20"/>
        </w:rPr>
        <w:t xml:space="preserve"> (non-Federal) resources. Upon adoption or implementation of a revised methodology, it is incumbent upon the LEA to provide an updated demonstration of compliance form to the </w:t>
      </w:r>
      <w:r w:rsidR="000C0077">
        <w:rPr>
          <w:i/>
          <w:sz w:val="20"/>
        </w:rPr>
        <w:t>Federal</w:t>
      </w:r>
      <w:r>
        <w:rPr>
          <w:i/>
          <w:sz w:val="20"/>
        </w:rPr>
        <w:t xml:space="preserve"> Programs</w:t>
      </w:r>
      <w:r w:rsidR="000C0077">
        <w:rPr>
          <w:i/>
          <w:sz w:val="20"/>
        </w:rPr>
        <w:t xml:space="preserve"> Office</w:t>
      </w:r>
      <w:r>
        <w:rPr>
          <w:i/>
          <w:sz w:val="20"/>
        </w:rPr>
        <w:t xml:space="preserve"> within the Alabama State Department of Education.</w:t>
      </w:r>
    </w:p>
    <w:p w:rsidR="00CF68B2" w:rsidRDefault="00CF68B2" w:rsidP="00CF68B2">
      <w:pPr>
        <w:pStyle w:val="BodyText"/>
        <w:spacing w:before="9"/>
        <w:rPr>
          <w:i/>
          <w:sz w:val="14"/>
        </w:rPr>
      </w:pPr>
    </w:p>
    <w:p w:rsidR="00CF68B2" w:rsidRDefault="00CF68B2" w:rsidP="00CF68B2">
      <w:pPr>
        <w:pStyle w:val="Heading3"/>
        <w:numPr>
          <w:ilvl w:val="0"/>
          <w:numId w:val="5"/>
        </w:numPr>
        <w:tabs>
          <w:tab w:val="left" w:pos="1079"/>
          <w:tab w:val="left" w:pos="1080"/>
        </w:tabs>
        <w:ind w:hanging="512"/>
        <w:jc w:val="left"/>
      </w:pPr>
      <w:r>
        <w:rPr>
          <w:u w:val="single"/>
        </w:rPr>
        <w:t>Instructions</w:t>
      </w:r>
    </w:p>
    <w:p w:rsidR="00CF68B2" w:rsidRDefault="00CF68B2" w:rsidP="00CF68B2">
      <w:pPr>
        <w:pStyle w:val="BodyText"/>
        <w:rPr>
          <w:b/>
          <w:sz w:val="10"/>
        </w:rPr>
      </w:pPr>
    </w:p>
    <w:p w:rsidR="00CF68B2" w:rsidRDefault="00CF68B2" w:rsidP="00CF68B2">
      <w:pPr>
        <w:spacing w:before="59"/>
        <w:ind w:left="1080" w:right="716"/>
        <w:jc w:val="both"/>
        <w:rPr>
          <w:b/>
          <w:sz w:val="20"/>
        </w:rPr>
      </w:pPr>
      <w:r>
        <w:rPr>
          <w:b/>
          <w:sz w:val="20"/>
        </w:rPr>
        <w:t>Every</w:t>
      </w:r>
      <w:r>
        <w:rPr>
          <w:b/>
          <w:spacing w:val="-9"/>
          <w:sz w:val="20"/>
        </w:rPr>
        <w:t xml:space="preserve"> </w:t>
      </w:r>
      <w:r>
        <w:rPr>
          <w:b/>
          <w:sz w:val="20"/>
        </w:rPr>
        <w:t>LEA</w:t>
      </w:r>
      <w:r>
        <w:rPr>
          <w:b/>
          <w:spacing w:val="-9"/>
          <w:sz w:val="20"/>
        </w:rPr>
        <w:t xml:space="preserve"> </w:t>
      </w:r>
      <w:r>
        <w:rPr>
          <w:b/>
          <w:sz w:val="20"/>
        </w:rPr>
        <w:t>must</w:t>
      </w:r>
      <w:r>
        <w:rPr>
          <w:b/>
          <w:spacing w:val="-8"/>
          <w:sz w:val="20"/>
        </w:rPr>
        <w:t xml:space="preserve"> </w:t>
      </w:r>
      <w:r>
        <w:rPr>
          <w:b/>
          <w:sz w:val="20"/>
        </w:rPr>
        <w:t>submit</w:t>
      </w:r>
      <w:r>
        <w:rPr>
          <w:b/>
          <w:spacing w:val="-7"/>
          <w:sz w:val="20"/>
        </w:rPr>
        <w:t xml:space="preserve"> </w:t>
      </w:r>
      <w:r>
        <w:rPr>
          <w:b/>
          <w:sz w:val="20"/>
        </w:rPr>
        <w:t>an</w:t>
      </w:r>
      <w:r>
        <w:rPr>
          <w:b/>
          <w:spacing w:val="-7"/>
          <w:sz w:val="20"/>
        </w:rPr>
        <w:t xml:space="preserve"> </w:t>
      </w:r>
      <w:r>
        <w:rPr>
          <w:b/>
          <w:sz w:val="20"/>
        </w:rPr>
        <w:t>executed</w:t>
      </w:r>
      <w:r>
        <w:rPr>
          <w:b/>
          <w:spacing w:val="-7"/>
          <w:sz w:val="20"/>
        </w:rPr>
        <w:t xml:space="preserve"> </w:t>
      </w:r>
      <w:r>
        <w:rPr>
          <w:b/>
          <w:sz w:val="20"/>
        </w:rPr>
        <w:t>Supplement,</w:t>
      </w:r>
      <w:r>
        <w:rPr>
          <w:b/>
          <w:spacing w:val="-8"/>
          <w:sz w:val="20"/>
        </w:rPr>
        <w:t xml:space="preserve"> </w:t>
      </w:r>
      <w:r>
        <w:rPr>
          <w:b/>
          <w:sz w:val="20"/>
        </w:rPr>
        <w:t>Not</w:t>
      </w:r>
      <w:r>
        <w:rPr>
          <w:b/>
          <w:spacing w:val="-7"/>
          <w:sz w:val="20"/>
        </w:rPr>
        <w:t xml:space="preserve"> </w:t>
      </w:r>
      <w:r>
        <w:rPr>
          <w:b/>
          <w:sz w:val="20"/>
        </w:rPr>
        <w:t>Supplant</w:t>
      </w:r>
      <w:r>
        <w:rPr>
          <w:b/>
          <w:spacing w:val="-7"/>
          <w:sz w:val="20"/>
        </w:rPr>
        <w:t xml:space="preserve"> </w:t>
      </w:r>
      <w:r>
        <w:rPr>
          <w:b/>
          <w:sz w:val="20"/>
        </w:rPr>
        <w:t>Demonstration</w:t>
      </w:r>
      <w:r>
        <w:rPr>
          <w:b/>
          <w:spacing w:val="-7"/>
          <w:sz w:val="20"/>
        </w:rPr>
        <w:t xml:space="preserve"> </w:t>
      </w:r>
      <w:r>
        <w:rPr>
          <w:b/>
          <w:sz w:val="20"/>
        </w:rPr>
        <w:t>of</w:t>
      </w:r>
      <w:r>
        <w:rPr>
          <w:b/>
          <w:spacing w:val="-9"/>
          <w:sz w:val="20"/>
        </w:rPr>
        <w:t xml:space="preserve"> </w:t>
      </w:r>
      <w:r>
        <w:rPr>
          <w:b/>
          <w:sz w:val="20"/>
        </w:rPr>
        <w:t>Compliance</w:t>
      </w:r>
      <w:r>
        <w:rPr>
          <w:b/>
          <w:spacing w:val="-8"/>
          <w:sz w:val="20"/>
        </w:rPr>
        <w:t xml:space="preserve"> </w:t>
      </w:r>
      <w:r>
        <w:rPr>
          <w:b/>
          <w:sz w:val="20"/>
        </w:rPr>
        <w:t>before</w:t>
      </w:r>
      <w:r>
        <w:rPr>
          <w:b/>
          <w:spacing w:val="-8"/>
          <w:sz w:val="20"/>
        </w:rPr>
        <w:t xml:space="preserve"> </w:t>
      </w:r>
      <w:r w:rsidR="000C0077">
        <w:rPr>
          <w:b/>
          <w:sz w:val="20"/>
        </w:rPr>
        <w:t>eGAP applications will be approved for the 2018-2019 school year</w:t>
      </w:r>
      <w:r>
        <w:rPr>
          <w:b/>
          <w:sz w:val="20"/>
        </w:rPr>
        <w:t>.</w:t>
      </w:r>
      <w:r w:rsidR="000C0077">
        <w:rPr>
          <w:b/>
          <w:sz w:val="20"/>
        </w:rPr>
        <w:t xml:space="preserve"> </w:t>
      </w:r>
      <w:r w:rsidR="000C0077" w:rsidRPr="000C0077">
        <w:rPr>
          <w:b/>
          <w:sz w:val="20"/>
        </w:rPr>
        <w:t>Section 1118(b)(1)</w:t>
      </w:r>
      <w:r w:rsidRPr="000C0077">
        <w:rPr>
          <w:b/>
          <w:spacing w:val="30"/>
          <w:sz w:val="20"/>
        </w:rPr>
        <w:t xml:space="preserve"> </w:t>
      </w:r>
      <w:r>
        <w:rPr>
          <w:sz w:val="20"/>
        </w:rPr>
        <w:t>LEAs</w:t>
      </w:r>
      <w:r>
        <w:rPr>
          <w:spacing w:val="-10"/>
          <w:sz w:val="20"/>
        </w:rPr>
        <w:t xml:space="preserve"> </w:t>
      </w:r>
      <w:r>
        <w:rPr>
          <w:sz w:val="20"/>
        </w:rPr>
        <w:t>may</w:t>
      </w:r>
      <w:r>
        <w:rPr>
          <w:spacing w:val="-7"/>
          <w:sz w:val="20"/>
        </w:rPr>
        <w:t xml:space="preserve"> </w:t>
      </w:r>
      <w:r>
        <w:rPr>
          <w:sz w:val="20"/>
        </w:rPr>
        <w:t>submit</w:t>
      </w:r>
      <w:r>
        <w:rPr>
          <w:spacing w:val="-8"/>
          <w:sz w:val="20"/>
        </w:rPr>
        <w:t xml:space="preserve"> </w:t>
      </w:r>
      <w:r>
        <w:rPr>
          <w:sz w:val="20"/>
        </w:rPr>
        <w:t>the</w:t>
      </w:r>
      <w:r>
        <w:rPr>
          <w:spacing w:val="-10"/>
          <w:sz w:val="20"/>
        </w:rPr>
        <w:t xml:space="preserve"> </w:t>
      </w:r>
      <w:r>
        <w:rPr>
          <w:sz w:val="20"/>
        </w:rPr>
        <w:t>materials</w:t>
      </w:r>
      <w:r>
        <w:rPr>
          <w:spacing w:val="-10"/>
          <w:sz w:val="20"/>
        </w:rPr>
        <w:t xml:space="preserve"> </w:t>
      </w:r>
      <w:r>
        <w:rPr>
          <w:sz w:val="20"/>
        </w:rPr>
        <w:t>required</w:t>
      </w:r>
      <w:r>
        <w:rPr>
          <w:spacing w:val="-8"/>
          <w:sz w:val="20"/>
        </w:rPr>
        <w:t xml:space="preserve"> </w:t>
      </w:r>
      <w:r>
        <w:rPr>
          <w:sz w:val="20"/>
        </w:rPr>
        <w:t>for</w:t>
      </w:r>
      <w:r>
        <w:rPr>
          <w:spacing w:val="-9"/>
          <w:sz w:val="20"/>
        </w:rPr>
        <w:t xml:space="preserve"> </w:t>
      </w:r>
      <w:r>
        <w:rPr>
          <w:sz w:val="20"/>
        </w:rPr>
        <w:t>demonstration</w:t>
      </w:r>
      <w:r>
        <w:rPr>
          <w:spacing w:val="-8"/>
          <w:sz w:val="20"/>
        </w:rPr>
        <w:t xml:space="preserve"> </w:t>
      </w:r>
      <w:r>
        <w:rPr>
          <w:sz w:val="20"/>
        </w:rPr>
        <w:t xml:space="preserve">on or before September 14, 2018, 2018. </w:t>
      </w:r>
      <w:r>
        <w:rPr>
          <w:b/>
          <w:sz w:val="20"/>
        </w:rPr>
        <w:t>The LEA must submit the executed form no later than September 14, 2018.</w:t>
      </w:r>
    </w:p>
    <w:p w:rsidR="00CF68B2" w:rsidRDefault="00CF68B2" w:rsidP="00CF68B2">
      <w:pPr>
        <w:pStyle w:val="BodyText"/>
        <w:spacing w:before="9"/>
        <w:rPr>
          <w:b/>
          <w:sz w:val="14"/>
        </w:rPr>
      </w:pPr>
    </w:p>
    <w:p w:rsidR="00CF68B2" w:rsidRDefault="00CF68B2" w:rsidP="00CF68B2">
      <w:pPr>
        <w:pStyle w:val="BodyText"/>
        <w:ind w:left="1080" w:right="723"/>
        <w:jc w:val="both"/>
      </w:pPr>
      <w:r>
        <w:t xml:space="preserve">A copy of this form must be duly executed by the </w:t>
      </w:r>
      <w:r w:rsidR="000C0077">
        <w:t>LEA Superintendent of</w:t>
      </w:r>
      <w:r>
        <w:t xml:space="preserve"> Education and submitted </w:t>
      </w:r>
      <w:r w:rsidR="000C0077">
        <w:t>and uploaded to the document library</w:t>
      </w:r>
      <w:r>
        <w:t xml:space="preserve"> upon submitting the required materials</w:t>
      </w:r>
      <w:r w:rsidR="00FF1B0D">
        <w:t xml:space="preserve">. </w:t>
      </w:r>
      <w:r>
        <w:t xml:space="preserve"> ALSDE will verify the information provided to ensure the LEA is in compliance with </w:t>
      </w:r>
      <w:r w:rsidR="00FF1B0D">
        <w:t>ESSA</w:t>
      </w:r>
      <w:r>
        <w:t xml:space="preserve"> requirements.</w:t>
      </w:r>
    </w:p>
    <w:p w:rsidR="00CF68B2" w:rsidRDefault="00CF68B2" w:rsidP="00CF68B2">
      <w:pPr>
        <w:pStyle w:val="BodyText"/>
        <w:spacing w:before="180"/>
        <w:ind w:left="1080" w:right="717"/>
        <w:jc w:val="both"/>
      </w:pPr>
      <w:r>
        <w:t xml:space="preserve">If the LEA is unable to provide the narrative description or reference in section (c) during the demonstration </w:t>
      </w:r>
      <w:r w:rsidR="0002215A">
        <w:t>time frame</w:t>
      </w:r>
      <w:r>
        <w:t xml:space="preserve">, the LEA must alternatively submit a plan to ALSDE detailing how the LEA intends to come into compliance and will then be required to resubmit the demonstration requirements. The LEA’s plan to come into compliance is due no later than September 14, 2018, with resubmission of the demonstration to occur no later than </w:t>
      </w:r>
      <w:r w:rsidR="0002215A">
        <w:t>September 28, 2018</w:t>
      </w:r>
      <w:r>
        <w:t>. Upon resubmission, ALSDE will then verify that the LEA is in compliance with the demonstration requirements.</w:t>
      </w:r>
    </w:p>
    <w:p w:rsidR="00CF68B2" w:rsidRDefault="00CF68B2" w:rsidP="00CF68B2">
      <w:pPr>
        <w:pStyle w:val="BodyText"/>
        <w:spacing w:before="9"/>
        <w:rPr>
          <w:sz w:val="14"/>
        </w:rPr>
      </w:pPr>
    </w:p>
    <w:p w:rsidR="00CF68B2" w:rsidRDefault="00CF68B2" w:rsidP="00CF68B2">
      <w:pPr>
        <w:pStyle w:val="Heading3"/>
        <w:spacing w:before="1"/>
        <w:ind w:left="1080" w:right="727"/>
        <w:jc w:val="both"/>
      </w:pPr>
      <w:r>
        <w:t>The LEA</w:t>
      </w:r>
      <w:r w:rsidR="000C0077">
        <w:t>’s</w:t>
      </w:r>
      <w:r>
        <w:t xml:space="preserve"> </w:t>
      </w:r>
      <w:r w:rsidR="000C0077">
        <w:t xml:space="preserve">eGAP Consolidated Application </w:t>
      </w:r>
      <w:r>
        <w:t xml:space="preserve">will not </w:t>
      </w:r>
      <w:r w:rsidR="000C0077">
        <w:t>be</w:t>
      </w:r>
      <w:r>
        <w:t xml:space="preserve"> approv</w:t>
      </w:r>
      <w:r w:rsidR="000C0077">
        <w:t>ed</w:t>
      </w:r>
      <w:r>
        <w:t xml:space="preserve"> </w:t>
      </w:r>
      <w:r w:rsidR="000C0077">
        <w:t>for</w:t>
      </w:r>
      <w:r>
        <w:t xml:space="preserve"> the 2018-19 </w:t>
      </w:r>
      <w:r w:rsidR="000C0077">
        <w:t>school year</w:t>
      </w:r>
      <w:r>
        <w:t xml:space="preserve"> until ALSDE has verified that the LEA is in compliance with the demonstration requirements.</w:t>
      </w:r>
      <w:r w:rsidR="000C0077">
        <w:t xml:space="preserve"> </w:t>
      </w:r>
      <w:r w:rsidR="000C0077" w:rsidRPr="000C0077">
        <w:t>Section 1118(b)(1)</w:t>
      </w:r>
    </w:p>
    <w:p w:rsidR="00CF68B2" w:rsidRDefault="00CF68B2" w:rsidP="00CF68B2">
      <w:pPr>
        <w:pStyle w:val="ListParagraph"/>
        <w:numPr>
          <w:ilvl w:val="0"/>
          <w:numId w:val="5"/>
        </w:numPr>
        <w:tabs>
          <w:tab w:val="left" w:pos="1079"/>
          <w:tab w:val="left" w:pos="1080"/>
        </w:tabs>
        <w:spacing w:before="176"/>
        <w:ind w:hanging="581"/>
        <w:jc w:val="left"/>
        <w:rPr>
          <w:b/>
        </w:rPr>
      </w:pPr>
      <w:r>
        <w:rPr>
          <w:b/>
          <w:u w:val="single"/>
        </w:rPr>
        <w:t>Demonstration</w:t>
      </w:r>
    </w:p>
    <w:p w:rsidR="00CF68B2" w:rsidRDefault="00CF68B2" w:rsidP="00CF68B2">
      <w:pPr>
        <w:pStyle w:val="BodyText"/>
        <w:tabs>
          <w:tab w:val="left" w:pos="5040"/>
          <w:tab w:val="left" w:pos="10122"/>
        </w:tabs>
        <w:spacing w:before="3"/>
        <w:ind w:left="1080" w:right="717"/>
        <w:jc w:val="both"/>
      </w:pPr>
      <w:r>
        <w:t>In</w:t>
      </w:r>
      <w:r>
        <w:rPr>
          <w:spacing w:val="-4"/>
        </w:rPr>
        <w:t xml:space="preserve"> </w:t>
      </w:r>
      <w:r>
        <w:t>consideration</w:t>
      </w:r>
      <w:r>
        <w:rPr>
          <w:spacing w:val="-5"/>
        </w:rPr>
        <w:t xml:space="preserve"> </w:t>
      </w:r>
      <w:r>
        <w:t>of</w:t>
      </w:r>
      <w:r>
        <w:rPr>
          <w:spacing w:val="-6"/>
        </w:rPr>
        <w:t xml:space="preserve"> </w:t>
      </w:r>
      <w:r>
        <w:t>participating</w:t>
      </w:r>
      <w:r>
        <w:rPr>
          <w:spacing w:val="-6"/>
        </w:rPr>
        <w:t xml:space="preserve"> </w:t>
      </w:r>
      <w:r>
        <w:t>in</w:t>
      </w:r>
      <w:r>
        <w:rPr>
          <w:spacing w:val="-2"/>
        </w:rPr>
        <w:t xml:space="preserve"> </w:t>
      </w:r>
      <w:r>
        <w:t>a</w:t>
      </w:r>
      <w:r>
        <w:rPr>
          <w:spacing w:val="-7"/>
        </w:rPr>
        <w:t xml:space="preserve"> </w:t>
      </w:r>
      <w:r>
        <w:t>Title</w:t>
      </w:r>
      <w:r>
        <w:rPr>
          <w:spacing w:val="-6"/>
        </w:rPr>
        <w:t xml:space="preserve"> </w:t>
      </w:r>
      <w:r>
        <w:t>I,</w:t>
      </w:r>
      <w:r>
        <w:rPr>
          <w:spacing w:val="-5"/>
        </w:rPr>
        <w:t xml:space="preserve"> </w:t>
      </w:r>
      <w:r>
        <w:t>Part</w:t>
      </w:r>
      <w:r>
        <w:rPr>
          <w:spacing w:val="-5"/>
        </w:rPr>
        <w:t xml:space="preserve"> </w:t>
      </w:r>
      <w:r>
        <w:t>A</w:t>
      </w:r>
      <w:r>
        <w:rPr>
          <w:spacing w:val="-6"/>
        </w:rPr>
        <w:t xml:space="preserve"> </w:t>
      </w:r>
      <w:r>
        <w:t>program(s)</w:t>
      </w:r>
      <w:r>
        <w:rPr>
          <w:spacing w:val="-6"/>
        </w:rPr>
        <w:t xml:space="preserve"> </w:t>
      </w:r>
      <w:r>
        <w:t>for</w:t>
      </w:r>
      <w:r>
        <w:rPr>
          <w:spacing w:val="-5"/>
        </w:rPr>
        <w:t xml:space="preserve"> </w:t>
      </w:r>
      <w:r>
        <w:t>which</w:t>
      </w:r>
      <w:r>
        <w:rPr>
          <w:spacing w:val="-5"/>
        </w:rPr>
        <w:t xml:space="preserve"> </w:t>
      </w:r>
      <w:r>
        <w:t>Federal</w:t>
      </w:r>
      <w:r>
        <w:rPr>
          <w:spacing w:val="-5"/>
        </w:rPr>
        <w:t xml:space="preserve"> </w:t>
      </w:r>
      <w:r>
        <w:t>funds</w:t>
      </w:r>
      <w:r>
        <w:rPr>
          <w:spacing w:val="-7"/>
        </w:rPr>
        <w:t xml:space="preserve"> </w:t>
      </w:r>
      <w:r>
        <w:t>are</w:t>
      </w:r>
      <w:r>
        <w:rPr>
          <w:spacing w:val="-6"/>
        </w:rPr>
        <w:t xml:space="preserve"> </w:t>
      </w:r>
      <w:r>
        <w:t>made</w:t>
      </w:r>
      <w:r>
        <w:rPr>
          <w:spacing w:val="-6"/>
        </w:rPr>
        <w:t xml:space="preserve"> </w:t>
      </w:r>
      <w:r>
        <w:t>available</w:t>
      </w:r>
      <w:r>
        <w:rPr>
          <w:spacing w:val="-6"/>
        </w:rPr>
        <w:t xml:space="preserve"> </w:t>
      </w:r>
      <w:r>
        <w:t>and</w:t>
      </w:r>
      <w:r>
        <w:rPr>
          <w:spacing w:val="-5"/>
        </w:rPr>
        <w:t xml:space="preserve"> </w:t>
      </w:r>
      <w:r>
        <w:t>of</w:t>
      </w:r>
      <w:r>
        <w:rPr>
          <w:spacing w:val="-6"/>
        </w:rPr>
        <w:t xml:space="preserve"> </w:t>
      </w:r>
      <w:r>
        <w:t>receiving</w:t>
      </w:r>
      <w:r>
        <w:rPr>
          <w:spacing w:val="-6"/>
        </w:rPr>
        <w:t xml:space="preserve"> </w:t>
      </w:r>
      <w:r>
        <w:t xml:space="preserve">Federal funds to carry out any such program(s), </w:t>
      </w:r>
      <w:r w:rsidR="000C0077">
        <w:t xml:space="preserve">Superintendent </w:t>
      </w:r>
      <w:r>
        <w:t>of Education</w:t>
      </w:r>
      <w:r>
        <w:rPr>
          <w:u w:val="single"/>
        </w:rPr>
        <w:t xml:space="preserve"> </w:t>
      </w:r>
      <w:r w:rsidR="000C0077">
        <w:rPr>
          <w:u w:val="single"/>
        </w:rPr>
        <w:t>___________________________________</w:t>
      </w:r>
      <w:r>
        <w:rPr>
          <w:u w:val="single"/>
        </w:rPr>
        <w:tab/>
      </w:r>
      <w:r>
        <w:t>(LEA), on</w:t>
      </w:r>
      <w:r>
        <w:rPr>
          <w:u w:val="single"/>
        </w:rPr>
        <w:t xml:space="preserve"> </w:t>
      </w:r>
      <w:r w:rsidR="000C0077">
        <w:rPr>
          <w:u w:val="single"/>
        </w:rPr>
        <w:t>_________________</w:t>
      </w:r>
      <w:r>
        <w:t>, 2018, provides the following to the Alabama State Department of Education:</w:t>
      </w:r>
    </w:p>
    <w:p w:rsidR="00CF68B2" w:rsidRDefault="00CF68B2" w:rsidP="00CF68B2">
      <w:pPr>
        <w:pStyle w:val="BodyText"/>
        <w:spacing w:before="3"/>
        <w:rPr>
          <w:sz w:val="15"/>
        </w:rPr>
      </w:pPr>
    </w:p>
    <w:p w:rsidR="00CF68B2" w:rsidRDefault="00CF68B2" w:rsidP="00CF68B2">
      <w:pPr>
        <w:spacing w:before="59"/>
        <w:ind w:left="1080"/>
        <w:rPr>
          <w:i/>
          <w:sz w:val="20"/>
        </w:rPr>
      </w:pPr>
      <w:r>
        <w:rPr>
          <w:i/>
          <w:sz w:val="20"/>
        </w:rPr>
        <w:t>The LEA need only complete section a. or b. below, as applicable.</w:t>
      </w:r>
    </w:p>
    <w:p w:rsidR="00CF68B2" w:rsidRDefault="00CF68B2" w:rsidP="00CF68B2">
      <w:pPr>
        <w:pStyle w:val="BodyText"/>
        <w:spacing w:before="1"/>
        <w:rPr>
          <w:i/>
        </w:rPr>
      </w:pPr>
    </w:p>
    <w:p w:rsidR="00CF68B2" w:rsidRDefault="00BA2DCF" w:rsidP="00BA2DCF">
      <w:pPr>
        <w:pStyle w:val="Heading3"/>
        <w:tabs>
          <w:tab w:val="left" w:pos="1440"/>
          <w:tab w:val="left" w:pos="1441"/>
        </w:tabs>
        <w:spacing w:line="243" w:lineRule="exact"/>
      </w:pPr>
      <w:r>
        <w:t xml:space="preserve">       </w:t>
      </w:r>
      <w:r w:rsidR="00461DDD">
        <w:t>a. For</w:t>
      </w:r>
      <w:r w:rsidR="00CF68B2">
        <w:t xml:space="preserve"> LEAs with a single school code </w:t>
      </w:r>
      <w:r w:rsidR="00CF68B2">
        <w:rPr>
          <w:b w:val="0"/>
        </w:rPr>
        <w:t>(</w:t>
      </w:r>
      <w:r w:rsidR="00CF68B2">
        <w:t>i.e. Elementary, Middle and High School levels all have the same school</w:t>
      </w:r>
      <w:r w:rsidR="00CF68B2">
        <w:rPr>
          <w:spacing w:val="-19"/>
        </w:rPr>
        <w:t xml:space="preserve"> </w:t>
      </w:r>
      <w:r w:rsidR="00CF68B2">
        <w:t>code):</w:t>
      </w:r>
    </w:p>
    <w:p w:rsidR="00CF68B2" w:rsidRDefault="00CF68B2" w:rsidP="00CF68B2">
      <w:pPr>
        <w:pStyle w:val="ListParagraph"/>
        <w:numPr>
          <w:ilvl w:val="0"/>
          <w:numId w:val="6"/>
        </w:numPr>
        <w:tabs>
          <w:tab w:val="left" w:pos="1849"/>
        </w:tabs>
        <w:ind w:right="715"/>
        <w:rPr>
          <w:sz w:val="20"/>
        </w:rPr>
      </w:pPr>
      <w:r>
        <w:rPr>
          <w:sz w:val="20"/>
        </w:rPr>
        <w:t>The LEA assures that it is in compliance with the supplement, not supplant provisions within section 1118(b) of, and referenced throughout, the Every Student Succeeds</w:t>
      </w:r>
      <w:r>
        <w:rPr>
          <w:spacing w:val="-2"/>
          <w:sz w:val="20"/>
        </w:rPr>
        <w:t xml:space="preserve"> </w:t>
      </w:r>
      <w:r>
        <w:rPr>
          <w:sz w:val="20"/>
        </w:rPr>
        <w:t>Act.</w:t>
      </w:r>
    </w:p>
    <w:p w:rsidR="00BA2DCF" w:rsidRDefault="00CF68B2" w:rsidP="00FA2799">
      <w:pPr>
        <w:ind w:left="1848"/>
        <w:rPr>
          <w:b/>
          <w:i/>
          <w:sz w:val="20"/>
        </w:rPr>
      </w:pPr>
      <w:r>
        <w:rPr>
          <w:b/>
          <w:i/>
          <w:sz w:val="20"/>
        </w:rPr>
        <w:t>No further action i</w:t>
      </w:r>
      <w:r w:rsidR="000C0077">
        <w:rPr>
          <w:b/>
          <w:i/>
          <w:sz w:val="20"/>
        </w:rPr>
        <w:t xml:space="preserve">s required beyond the assurance. </w:t>
      </w:r>
    </w:p>
    <w:p w:rsidR="00FA2799" w:rsidRDefault="00FA2799" w:rsidP="00FA2799">
      <w:pPr>
        <w:ind w:left="1848"/>
        <w:rPr>
          <w:b/>
          <w:i/>
          <w:sz w:val="20"/>
        </w:rPr>
      </w:pPr>
    </w:p>
    <w:p w:rsidR="00FA2799" w:rsidRDefault="00FA2799" w:rsidP="00FA2799">
      <w:pPr>
        <w:ind w:left="1848"/>
        <w:rPr>
          <w:b/>
          <w:i/>
          <w:sz w:val="20"/>
        </w:rPr>
      </w:pPr>
    </w:p>
    <w:p w:rsidR="00FA2799" w:rsidRDefault="00FA2799" w:rsidP="00FA2799">
      <w:pPr>
        <w:ind w:left="1848"/>
        <w:rPr>
          <w:b/>
          <w:i/>
          <w:sz w:val="20"/>
        </w:rPr>
      </w:pPr>
    </w:p>
    <w:p w:rsidR="00FA2799" w:rsidRDefault="00FA2799" w:rsidP="00FA2799">
      <w:pPr>
        <w:ind w:left="1848"/>
        <w:rPr>
          <w:b/>
          <w:i/>
          <w:sz w:val="20"/>
        </w:rPr>
      </w:pPr>
    </w:p>
    <w:p w:rsidR="00BA2DCF" w:rsidRDefault="00BA2DCF" w:rsidP="00D740D2">
      <w:pPr>
        <w:tabs>
          <w:tab w:val="left" w:pos="1440"/>
          <w:tab w:val="left" w:pos="1441"/>
        </w:tabs>
        <w:spacing w:before="59"/>
        <w:outlineLvl w:val="2"/>
        <w:rPr>
          <w:b/>
          <w:i/>
        </w:rPr>
      </w:pPr>
      <w:r>
        <w:rPr>
          <w:b/>
          <w:i/>
        </w:rPr>
        <w:lastRenderedPageBreak/>
        <w:t xml:space="preserve">                  </w:t>
      </w:r>
      <w:r w:rsidR="00461DDD">
        <w:rPr>
          <w:b/>
          <w:i/>
        </w:rPr>
        <w:t>b. For</w:t>
      </w:r>
      <w:r w:rsidRPr="00B030C4">
        <w:rPr>
          <w:b/>
          <w:bCs/>
          <w:sz w:val="20"/>
          <w:szCs w:val="20"/>
        </w:rPr>
        <w:t xml:space="preserve"> LEAs with more than one school code (i.e. the LEA has multiple schools with different school</w:t>
      </w:r>
      <w:r w:rsidRPr="00B030C4">
        <w:rPr>
          <w:b/>
          <w:bCs/>
          <w:spacing w:val="-11"/>
          <w:sz w:val="20"/>
          <w:szCs w:val="20"/>
        </w:rPr>
        <w:t xml:space="preserve"> </w:t>
      </w:r>
      <w:r w:rsidRPr="00B030C4">
        <w:rPr>
          <w:b/>
          <w:bCs/>
          <w:sz w:val="20"/>
          <w:szCs w:val="20"/>
        </w:rPr>
        <w:t>codes):</w:t>
      </w:r>
    </w:p>
    <w:p w:rsidR="00D740D2" w:rsidRDefault="00D740D2" w:rsidP="00D740D2">
      <w:pPr>
        <w:ind w:left="720"/>
        <w:rPr>
          <w:sz w:val="20"/>
        </w:rPr>
      </w:pPr>
      <w:r>
        <w:rPr>
          <w:sz w:val="20"/>
        </w:rPr>
        <w:t xml:space="preserve">      </w:t>
      </w:r>
      <w:r w:rsidR="00F90477" w:rsidRPr="00B030C4">
        <w:rPr>
          <w:sz w:val="20"/>
        </w:rPr>
        <w:t>The LEA assures that it is in compliance with the supplement, not supplant provisions within section 1118(b) of, and referenced</w:t>
      </w:r>
    </w:p>
    <w:p w:rsidR="00F90477" w:rsidRPr="00B030C4" w:rsidRDefault="00D740D2" w:rsidP="00D740D2">
      <w:pPr>
        <w:rPr>
          <w:sz w:val="20"/>
        </w:rPr>
      </w:pPr>
      <w:r>
        <w:rPr>
          <w:sz w:val="20"/>
        </w:rPr>
        <w:t xml:space="preserve">              </w:t>
      </w:r>
      <w:r w:rsidR="00F90477" w:rsidRPr="00B030C4">
        <w:rPr>
          <w:sz w:val="20"/>
        </w:rPr>
        <w:t xml:space="preserve"> </w:t>
      </w:r>
      <w:r>
        <w:rPr>
          <w:sz w:val="20"/>
        </w:rPr>
        <w:t xml:space="preserve">       </w:t>
      </w:r>
      <w:r w:rsidR="00F90477" w:rsidRPr="00B030C4">
        <w:rPr>
          <w:sz w:val="20"/>
        </w:rPr>
        <w:t>throughout,</w:t>
      </w:r>
      <w:r>
        <w:rPr>
          <w:sz w:val="20"/>
        </w:rPr>
        <w:t xml:space="preserve"> </w:t>
      </w:r>
      <w:r w:rsidR="00F90477" w:rsidRPr="00B030C4">
        <w:rPr>
          <w:sz w:val="20"/>
        </w:rPr>
        <w:t>the Every Student Succeeds</w:t>
      </w:r>
      <w:r w:rsidR="00F90477" w:rsidRPr="00B030C4">
        <w:rPr>
          <w:spacing w:val="-5"/>
          <w:sz w:val="20"/>
        </w:rPr>
        <w:t xml:space="preserve"> </w:t>
      </w:r>
      <w:r w:rsidR="00F90477" w:rsidRPr="00B030C4">
        <w:rPr>
          <w:sz w:val="20"/>
        </w:rPr>
        <w:t>Act.</w:t>
      </w:r>
    </w:p>
    <w:p w:rsidR="00F90477" w:rsidRPr="00B030C4" w:rsidRDefault="00F90477" w:rsidP="00F90477">
      <w:pPr>
        <w:spacing w:before="12"/>
        <w:rPr>
          <w:sz w:val="19"/>
          <w:szCs w:val="20"/>
        </w:rPr>
      </w:pPr>
    </w:p>
    <w:p w:rsidR="00F90477" w:rsidRPr="00EC4A9A" w:rsidRDefault="00F90477" w:rsidP="00F90477">
      <w:pPr>
        <w:pStyle w:val="ListParagraph"/>
        <w:numPr>
          <w:ilvl w:val="0"/>
          <w:numId w:val="7"/>
        </w:numPr>
        <w:tabs>
          <w:tab w:val="left" w:pos="1849"/>
        </w:tabs>
        <w:ind w:right="715"/>
        <w:contextualSpacing/>
        <w:rPr>
          <w:sz w:val="20"/>
        </w:rPr>
      </w:pPr>
      <w:r w:rsidRPr="00EC4A9A">
        <w:rPr>
          <w:sz w:val="20"/>
        </w:rPr>
        <w:t>The LEA assures that it has adopted and implemented the following methodology to allocate Foundation Program and local funds (non- Federal) funds to all schools in the LEA, regardless of Title I status (select only</w:t>
      </w:r>
      <w:r w:rsidRPr="00EC4A9A">
        <w:rPr>
          <w:spacing w:val="-14"/>
          <w:sz w:val="20"/>
        </w:rPr>
        <w:t xml:space="preserve"> </w:t>
      </w:r>
      <w:r w:rsidRPr="00EC4A9A">
        <w:rPr>
          <w:sz w:val="20"/>
        </w:rPr>
        <w:t>one):</w:t>
      </w:r>
    </w:p>
    <w:p w:rsidR="00F90477" w:rsidRPr="00B030C4" w:rsidRDefault="00F90477" w:rsidP="00F90477">
      <w:pPr>
        <w:numPr>
          <w:ilvl w:val="2"/>
          <w:numId w:val="4"/>
        </w:numPr>
        <w:tabs>
          <w:tab w:val="left" w:pos="2563"/>
          <w:tab w:val="left" w:pos="2564"/>
        </w:tabs>
        <w:spacing w:before="1" w:line="243" w:lineRule="exact"/>
        <w:ind w:left="2563"/>
        <w:rPr>
          <w:sz w:val="20"/>
        </w:rPr>
      </w:pPr>
      <w:r w:rsidRPr="00B030C4">
        <w:rPr>
          <w:sz w:val="20"/>
        </w:rPr>
        <w:t>Distribution of Foundation Program and local funds (non-Federal) resources based on the characteristics of the</w:t>
      </w:r>
      <w:r w:rsidRPr="00B030C4">
        <w:rPr>
          <w:spacing w:val="-17"/>
          <w:sz w:val="20"/>
        </w:rPr>
        <w:t xml:space="preserve"> </w:t>
      </w:r>
      <w:r w:rsidRPr="00B030C4">
        <w:rPr>
          <w:sz w:val="20"/>
        </w:rPr>
        <w:t>students</w:t>
      </w:r>
    </w:p>
    <w:p w:rsidR="00F90477" w:rsidRPr="00B030C4" w:rsidRDefault="00F90477" w:rsidP="00F90477">
      <w:pPr>
        <w:numPr>
          <w:ilvl w:val="2"/>
          <w:numId w:val="4"/>
        </w:numPr>
        <w:tabs>
          <w:tab w:val="left" w:pos="2563"/>
          <w:tab w:val="left" w:pos="2564"/>
        </w:tabs>
        <w:spacing w:line="243" w:lineRule="exact"/>
        <w:ind w:left="2563"/>
        <w:rPr>
          <w:sz w:val="20"/>
        </w:rPr>
      </w:pPr>
      <w:r w:rsidRPr="00B030C4">
        <w:rPr>
          <w:sz w:val="20"/>
        </w:rPr>
        <w:t>Distribution of Foundation Program and local funds (non-Federal) resources based on staffing and</w:t>
      </w:r>
      <w:r w:rsidRPr="00B030C4">
        <w:rPr>
          <w:spacing w:val="-11"/>
          <w:sz w:val="20"/>
        </w:rPr>
        <w:t xml:space="preserve"> </w:t>
      </w:r>
      <w:r w:rsidRPr="00B030C4">
        <w:rPr>
          <w:sz w:val="20"/>
        </w:rPr>
        <w:t>supplies</w:t>
      </w:r>
    </w:p>
    <w:p w:rsidR="00F90477" w:rsidRPr="00B030C4" w:rsidRDefault="00F90477" w:rsidP="00F90477">
      <w:pPr>
        <w:numPr>
          <w:ilvl w:val="2"/>
          <w:numId w:val="4"/>
        </w:numPr>
        <w:tabs>
          <w:tab w:val="left" w:pos="2563"/>
          <w:tab w:val="left" w:pos="2564"/>
        </w:tabs>
        <w:spacing w:before="1"/>
        <w:ind w:left="2563" w:right="1009"/>
        <w:rPr>
          <w:sz w:val="20"/>
        </w:rPr>
      </w:pPr>
      <w:r w:rsidRPr="00B030C4">
        <w:rPr>
          <w:sz w:val="20"/>
        </w:rPr>
        <w:t>Distribution</w:t>
      </w:r>
      <w:r w:rsidRPr="00B030C4">
        <w:rPr>
          <w:spacing w:val="-3"/>
          <w:sz w:val="20"/>
        </w:rPr>
        <w:t xml:space="preserve"> </w:t>
      </w:r>
      <w:r w:rsidRPr="00B030C4">
        <w:rPr>
          <w:sz w:val="20"/>
        </w:rPr>
        <w:t>of</w:t>
      </w:r>
      <w:r w:rsidRPr="00B030C4">
        <w:rPr>
          <w:spacing w:val="-5"/>
          <w:sz w:val="20"/>
        </w:rPr>
        <w:t xml:space="preserve"> </w:t>
      </w:r>
      <w:r w:rsidRPr="00B030C4">
        <w:rPr>
          <w:sz w:val="20"/>
        </w:rPr>
        <w:t>Foundation Program and local funds</w:t>
      </w:r>
      <w:r w:rsidRPr="00B030C4">
        <w:rPr>
          <w:spacing w:val="-1"/>
          <w:sz w:val="20"/>
        </w:rPr>
        <w:t xml:space="preserve"> </w:t>
      </w:r>
      <w:r w:rsidRPr="00B030C4">
        <w:rPr>
          <w:sz w:val="20"/>
        </w:rPr>
        <w:t>(non-Federal)</w:t>
      </w:r>
      <w:r w:rsidRPr="00B030C4">
        <w:rPr>
          <w:spacing w:val="-4"/>
          <w:sz w:val="20"/>
        </w:rPr>
        <w:t xml:space="preserve"> </w:t>
      </w:r>
      <w:r w:rsidRPr="00B030C4">
        <w:rPr>
          <w:sz w:val="20"/>
        </w:rPr>
        <w:t>resources</w:t>
      </w:r>
      <w:r w:rsidRPr="00B030C4">
        <w:rPr>
          <w:spacing w:val="-5"/>
          <w:sz w:val="20"/>
        </w:rPr>
        <w:t xml:space="preserve"> </w:t>
      </w:r>
      <w:r w:rsidRPr="00B030C4">
        <w:rPr>
          <w:sz w:val="20"/>
        </w:rPr>
        <w:t>based</w:t>
      </w:r>
      <w:r w:rsidRPr="00B030C4">
        <w:rPr>
          <w:spacing w:val="-3"/>
          <w:sz w:val="20"/>
        </w:rPr>
        <w:t xml:space="preserve"> </w:t>
      </w:r>
      <w:r w:rsidRPr="00B030C4">
        <w:rPr>
          <w:sz w:val="20"/>
        </w:rPr>
        <w:t>on</w:t>
      </w:r>
      <w:r w:rsidRPr="00B030C4">
        <w:rPr>
          <w:spacing w:val="-3"/>
          <w:sz w:val="20"/>
        </w:rPr>
        <w:t xml:space="preserve"> </w:t>
      </w:r>
      <w:r w:rsidRPr="00B030C4">
        <w:rPr>
          <w:sz w:val="20"/>
        </w:rPr>
        <w:t>a</w:t>
      </w:r>
      <w:r w:rsidRPr="00B030C4">
        <w:rPr>
          <w:spacing w:val="-3"/>
          <w:sz w:val="20"/>
        </w:rPr>
        <w:t xml:space="preserve"> </w:t>
      </w:r>
      <w:r w:rsidRPr="00B030C4">
        <w:rPr>
          <w:sz w:val="20"/>
        </w:rPr>
        <w:t>combination</w:t>
      </w:r>
      <w:r w:rsidRPr="00B030C4">
        <w:rPr>
          <w:spacing w:val="-2"/>
          <w:sz w:val="20"/>
        </w:rPr>
        <w:t xml:space="preserve"> </w:t>
      </w:r>
      <w:r w:rsidRPr="00B030C4">
        <w:rPr>
          <w:sz w:val="20"/>
        </w:rPr>
        <w:t>of</w:t>
      </w:r>
      <w:r w:rsidRPr="00B030C4">
        <w:rPr>
          <w:spacing w:val="-5"/>
          <w:sz w:val="20"/>
        </w:rPr>
        <w:t xml:space="preserve"> </w:t>
      </w:r>
      <w:r w:rsidRPr="00B030C4">
        <w:rPr>
          <w:sz w:val="20"/>
        </w:rPr>
        <w:t>the</w:t>
      </w:r>
      <w:r w:rsidRPr="00B030C4">
        <w:rPr>
          <w:spacing w:val="-4"/>
          <w:sz w:val="20"/>
        </w:rPr>
        <w:t xml:space="preserve"> </w:t>
      </w:r>
      <w:r w:rsidRPr="00B030C4">
        <w:rPr>
          <w:sz w:val="20"/>
        </w:rPr>
        <w:t>characteristics</w:t>
      </w:r>
      <w:r w:rsidRPr="00B030C4">
        <w:rPr>
          <w:spacing w:val="-5"/>
          <w:sz w:val="20"/>
        </w:rPr>
        <w:t xml:space="preserve"> </w:t>
      </w:r>
      <w:r w:rsidRPr="00B030C4">
        <w:rPr>
          <w:sz w:val="20"/>
        </w:rPr>
        <w:t>of</w:t>
      </w:r>
      <w:r w:rsidRPr="00B030C4">
        <w:rPr>
          <w:spacing w:val="-5"/>
          <w:sz w:val="20"/>
        </w:rPr>
        <w:t xml:space="preserve"> </w:t>
      </w:r>
      <w:r w:rsidRPr="00B030C4">
        <w:rPr>
          <w:sz w:val="20"/>
        </w:rPr>
        <w:t>the students and staffing and</w:t>
      </w:r>
      <w:r w:rsidRPr="00B030C4">
        <w:rPr>
          <w:spacing w:val="-3"/>
          <w:sz w:val="20"/>
        </w:rPr>
        <w:t xml:space="preserve"> </w:t>
      </w:r>
      <w:r w:rsidRPr="00B030C4">
        <w:rPr>
          <w:sz w:val="20"/>
        </w:rPr>
        <w:t>supplies</w:t>
      </w:r>
    </w:p>
    <w:p w:rsidR="00F90477" w:rsidRPr="00B030C4" w:rsidRDefault="00F90477" w:rsidP="00F90477">
      <w:pPr>
        <w:numPr>
          <w:ilvl w:val="2"/>
          <w:numId w:val="4"/>
        </w:numPr>
        <w:tabs>
          <w:tab w:val="left" w:pos="2563"/>
          <w:tab w:val="left" w:pos="2564"/>
        </w:tabs>
        <w:spacing w:before="1"/>
        <w:ind w:left="2563"/>
        <w:rPr>
          <w:sz w:val="20"/>
        </w:rPr>
      </w:pPr>
      <w:r w:rsidRPr="00B030C4">
        <w:rPr>
          <w:sz w:val="20"/>
        </w:rPr>
        <w:t>Other, as adopted and implemented by the</w:t>
      </w:r>
      <w:r w:rsidRPr="00B030C4">
        <w:rPr>
          <w:spacing w:val="-4"/>
          <w:sz w:val="20"/>
        </w:rPr>
        <w:t xml:space="preserve"> </w:t>
      </w:r>
      <w:r w:rsidRPr="00B030C4">
        <w:rPr>
          <w:sz w:val="20"/>
        </w:rPr>
        <w:t>LEA</w:t>
      </w:r>
    </w:p>
    <w:p w:rsidR="00F90477" w:rsidRPr="00B030C4" w:rsidRDefault="00F90477" w:rsidP="00F90477">
      <w:pPr>
        <w:spacing w:before="11"/>
        <w:rPr>
          <w:sz w:val="19"/>
          <w:szCs w:val="20"/>
        </w:rPr>
      </w:pPr>
    </w:p>
    <w:p w:rsidR="00F90477" w:rsidRPr="00EC4A9A" w:rsidRDefault="00F90477" w:rsidP="00F90477">
      <w:pPr>
        <w:pStyle w:val="ListParagraph"/>
        <w:numPr>
          <w:ilvl w:val="0"/>
          <w:numId w:val="7"/>
        </w:numPr>
        <w:tabs>
          <w:tab w:val="left" w:pos="1849"/>
        </w:tabs>
        <w:contextualSpacing/>
        <w:rPr>
          <w:sz w:val="20"/>
        </w:rPr>
      </w:pPr>
      <w:r w:rsidRPr="00EC4A9A">
        <w:rPr>
          <w:sz w:val="20"/>
        </w:rPr>
        <w:t>The LEA has provided a narrative description of either</w:t>
      </w:r>
      <w:r w:rsidRPr="00EC4A9A">
        <w:rPr>
          <w:spacing w:val="-7"/>
          <w:sz w:val="20"/>
        </w:rPr>
        <w:t xml:space="preserve"> </w:t>
      </w:r>
      <w:r w:rsidRPr="00EC4A9A">
        <w:rPr>
          <w:sz w:val="20"/>
        </w:rPr>
        <w:t>the:</w:t>
      </w:r>
    </w:p>
    <w:p w:rsidR="00F90477" w:rsidRDefault="00F90477" w:rsidP="00F90477">
      <w:pPr>
        <w:numPr>
          <w:ilvl w:val="2"/>
          <w:numId w:val="4"/>
        </w:numPr>
        <w:tabs>
          <w:tab w:val="left" w:pos="2611"/>
          <w:tab w:val="left" w:pos="2612"/>
        </w:tabs>
        <w:spacing w:before="1"/>
        <w:ind w:left="2611" w:right="758"/>
        <w:rPr>
          <w:sz w:val="20"/>
        </w:rPr>
      </w:pPr>
      <w:r w:rsidRPr="00B030C4">
        <w:rPr>
          <w:sz w:val="20"/>
        </w:rPr>
        <w:t>LEA’s</w:t>
      </w:r>
      <w:r w:rsidRPr="00B030C4">
        <w:rPr>
          <w:spacing w:val="-4"/>
          <w:sz w:val="20"/>
        </w:rPr>
        <w:t xml:space="preserve"> </w:t>
      </w:r>
      <w:r w:rsidRPr="00B030C4">
        <w:rPr>
          <w:sz w:val="20"/>
        </w:rPr>
        <w:t>methodology</w:t>
      </w:r>
      <w:r w:rsidRPr="00B030C4">
        <w:rPr>
          <w:spacing w:val="-3"/>
          <w:sz w:val="20"/>
        </w:rPr>
        <w:t xml:space="preserve"> </w:t>
      </w:r>
      <w:r w:rsidRPr="00B030C4">
        <w:rPr>
          <w:sz w:val="20"/>
        </w:rPr>
        <w:t>or</w:t>
      </w:r>
      <w:r w:rsidRPr="00B030C4">
        <w:rPr>
          <w:spacing w:val="-3"/>
          <w:sz w:val="20"/>
        </w:rPr>
        <w:t xml:space="preserve"> </w:t>
      </w:r>
      <w:r w:rsidRPr="00B030C4">
        <w:rPr>
          <w:sz w:val="20"/>
        </w:rPr>
        <w:t>a</w:t>
      </w:r>
      <w:r w:rsidRPr="00B030C4">
        <w:rPr>
          <w:spacing w:val="-3"/>
          <w:sz w:val="20"/>
        </w:rPr>
        <w:t xml:space="preserve"> </w:t>
      </w:r>
      <w:r w:rsidRPr="00B030C4">
        <w:rPr>
          <w:sz w:val="20"/>
        </w:rPr>
        <w:t>reference</w:t>
      </w:r>
      <w:r w:rsidRPr="00B030C4">
        <w:rPr>
          <w:spacing w:val="-4"/>
          <w:sz w:val="20"/>
        </w:rPr>
        <w:t xml:space="preserve"> </w:t>
      </w:r>
      <w:r w:rsidRPr="00B030C4">
        <w:rPr>
          <w:sz w:val="20"/>
        </w:rPr>
        <w:t>to</w:t>
      </w:r>
      <w:r w:rsidRPr="00B030C4">
        <w:rPr>
          <w:spacing w:val="-3"/>
          <w:sz w:val="20"/>
        </w:rPr>
        <w:t xml:space="preserve"> </w:t>
      </w:r>
      <w:r w:rsidRPr="00B030C4">
        <w:rPr>
          <w:sz w:val="20"/>
        </w:rPr>
        <w:t>the</w:t>
      </w:r>
      <w:r w:rsidRPr="00B030C4">
        <w:rPr>
          <w:spacing w:val="-4"/>
          <w:sz w:val="20"/>
        </w:rPr>
        <w:t xml:space="preserve"> </w:t>
      </w:r>
      <w:r w:rsidRPr="00B030C4">
        <w:rPr>
          <w:sz w:val="20"/>
        </w:rPr>
        <w:t>LEA’s</w:t>
      </w:r>
      <w:r w:rsidRPr="00B030C4">
        <w:rPr>
          <w:spacing w:val="-4"/>
          <w:sz w:val="20"/>
        </w:rPr>
        <w:t xml:space="preserve"> </w:t>
      </w:r>
      <w:r w:rsidRPr="00B030C4">
        <w:rPr>
          <w:sz w:val="20"/>
        </w:rPr>
        <w:t>Financial</w:t>
      </w:r>
      <w:r w:rsidRPr="00B030C4">
        <w:rPr>
          <w:spacing w:val="-4"/>
          <w:sz w:val="20"/>
        </w:rPr>
        <w:t xml:space="preserve"> </w:t>
      </w:r>
      <w:r w:rsidRPr="00B030C4">
        <w:rPr>
          <w:sz w:val="20"/>
        </w:rPr>
        <w:t>Transparency</w:t>
      </w:r>
      <w:r w:rsidRPr="00B030C4">
        <w:rPr>
          <w:spacing w:val="-3"/>
          <w:sz w:val="20"/>
        </w:rPr>
        <w:t xml:space="preserve"> </w:t>
      </w:r>
      <w:r w:rsidRPr="00B030C4">
        <w:rPr>
          <w:sz w:val="20"/>
        </w:rPr>
        <w:t>document</w:t>
      </w:r>
      <w:r w:rsidRPr="00B030C4">
        <w:rPr>
          <w:spacing w:val="-3"/>
          <w:sz w:val="20"/>
        </w:rPr>
        <w:t xml:space="preserve"> </w:t>
      </w:r>
      <w:r w:rsidRPr="00B030C4">
        <w:rPr>
          <w:sz w:val="20"/>
        </w:rPr>
        <w:t>in</w:t>
      </w:r>
      <w:r w:rsidRPr="00B030C4">
        <w:rPr>
          <w:spacing w:val="-3"/>
          <w:sz w:val="20"/>
        </w:rPr>
        <w:t xml:space="preserve"> </w:t>
      </w:r>
      <w:r w:rsidRPr="00B030C4">
        <w:rPr>
          <w:sz w:val="20"/>
        </w:rPr>
        <w:t>which</w:t>
      </w:r>
      <w:r w:rsidRPr="00B030C4">
        <w:rPr>
          <w:spacing w:val="-3"/>
          <w:sz w:val="20"/>
        </w:rPr>
        <w:t xml:space="preserve"> </w:t>
      </w:r>
      <w:r w:rsidRPr="00B030C4">
        <w:rPr>
          <w:sz w:val="20"/>
        </w:rPr>
        <w:t>the</w:t>
      </w:r>
      <w:r w:rsidRPr="00B030C4">
        <w:rPr>
          <w:spacing w:val="-4"/>
          <w:sz w:val="20"/>
        </w:rPr>
        <w:t xml:space="preserve"> </w:t>
      </w:r>
      <w:r w:rsidRPr="00B030C4">
        <w:rPr>
          <w:sz w:val="20"/>
        </w:rPr>
        <w:t>methodology</w:t>
      </w:r>
      <w:r w:rsidRPr="00B030C4">
        <w:rPr>
          <w:spacing w:val="-3"/>
          <w:sz w:val="20"/>
        </w:rPr>
        <w:t xml:space="preserve"> </w:t>
      </w:r>
      <w:r w:rsidRPr="00B030C4">
        <w:rPr>
          <w:sz w:val="20"/>
        </w:rPr>
        <w:t>is described;</w:t>
      </w:r>
      <w:r w:rsidRPr="00B030C4">
        <w:rPr>
          <w:spacing w:val="-2"/>
          <w:sz w:val="20"/>
        </w:rPr>
        <w:t xml:space="preserve"> </w:t>
      </w:r>
      <w:r w:rsidRPr="00B030C4">
        <w:rPr>
          <w:sz w:val="20"/>
        </w:rPr>
        <w:t>or,</w:t>
      </w:r>
    </w:p>
    <w:p w:rsidR="00D30108" w:rsidRDefault="00D30108" w:rsidP="00D30108">
      <w:pPr>
        <w:tabs>
          <w:tab w:val="left" w:pos="2611"/>
          <w:tab w:val="left" w:pos="2612"/>
        </w:tabs>
        <w:spacing w:before="1"/>
        <w:ind w:right="758"/>
        <w:rPr>
          <w:sz w:val="20"/>
        </w:rPr>
      </w:pPr>
      <w:r>
        <w:rPr>
          <w:noProof/>
          <w:sz w:val="20"/>
          <w:lang w:bidi="ar-SA"/>
        </w:rPr>
        <mc:AlternateContent>
          <mc:Choice Requires="wps">
            <w:drawing>
              <wp:anchor distT="0" distB="0" distL="114300" distR="114300" simplePos="0" relativeHeight="251673600" behindDoc="0" locked="0" layoutInCell="1" allowOverlap="1">
                <wp:simplePos x="0" y="0"/>
                <wp:positionH relativeFrom="column">
                  <wp:posOffset>539431</wp:posOffset>
                </wp:positionH>
                <wp:positionV relativeFrom="paragraph">
                  <wp:posOffset>39607</wp:posOffset>
                </wp:positionV>
                <wp:extent cx="6769150" cy="999919"/>
                <wp:effectExtent l="0" t="0" r="12700" b="10160"/>
                <wp:wrapNone/>
                <wp:docPr id="1" name="Text Box 1"/>
                <wp:cNvGraphicFramePr/>
                <a:graphic xmlns:a="http://schemas.openxmlformats.org/drawingml/2006/main">
                  <a:graphicData uri="http://schemas.microsoft.com/office/word/2010/wordprocessingShape">
                    <wps:wsp>
                      <wps:cNvSpPr txBox="1"/>
                      <wps:spPr>
                        <a:xfrm>
                          <a:off x="0" y="0"/>
                          <a:ext cx="6769150" cy="999919"/>
                        </a:xfrm>
                        <a:prstGeom prst="rect">
                          <a:avLst/>
                        </a:prstGeom>
                        <a:solidFill>
                          <a:schemeClr val="lt1"/>
                        </a:solidFill>
                        <a:ln w="6350">
                          <a:solidFill>
                            <a:prstClr val="black"/>
                          </a:solidFill>
                        </a:ln>
                      </wps:spPr>
                      <wps:txbx>
                        <w:txbxContent>
                          <w:p w:rsidR="00D30108" w:rsidRDefault="00D30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5pt;margin-top:3.1pt;width:533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" fillcolor="white [3201]" strokeweight=".5pt">
                <v:textbox>
                  <w:txbxContent>
                    <w:p w:rsidR="00D30108" w:rsidRDefault="00D30108"/>
                  </w:txbxContent>
                </v:textbox>
              </v:shape>
            </w:pict>
          </mc:Fallback>
        </mc:AlternateContent>
      </w:r>
    </w:p>
    <w:p w:rsidR="00D30108" w:rsidRDefault="00D30108" w:rsidP="00D30108">
      <w:pPr>
        <w:tabs>
          <w:tab w:val="left" w:pos="2611"/>
          <w:tab w:val="left" w:pos="2612"/>
        </w:tabs>
        <w:spacing w:before="1"/>
        <w:ind w:right="758"/>
        <w:rPr>
          <w:sz w:val="20"/>
        </w:rPr>
      </w:pPr>
    </w:p>
    <w:p w:rsidR="00D30108" w:rsidRDefault="00D30108" w:rsidP="00D30108">
      <w:pPr>
        <w:tabs>
          <w:tab w:val="left" w:pos="2611"/>
          <w:tab w:val="left" w:pos="2612"/>
        </w:tabs>
        <w:spacing w:before="1"/>
        <w:ind w:right="758"/>
        <w:rPr>
          <w:sz w:val="20"/>
        </w:rPr>
      </w:pPr>
    </w:p>
    <w:p w:rsidR="00D30108" w:rsidRDefault="00D30108" w:rsidP="00D30108">
      <w:pPr>
        <w:tabs>
          <w:tab w:val="left" w:pos="2611"/>
          <w:tab w:val="left" w:pos="2612"/>
        </w:tabs>
        <w:spacing w:before="1"/>
        <w:ind w:right="758"/>
        <w:rPr>
          <w:sz w:val="20"/>
        </w:rPr>
      </w:pPr>
    </w:p>
    <w:p w:rsidR="00D30108" w:rsidRDefault="00D30108" w:rsidP="00D30108">
      <w:pPr>
        <w:tabs>
          <w:tab w:val="left" w:pos="2611"/>
          <w:tab w:val="left" w:pos="2612"/>
        </w:tabs>
        <w:spacing w:before="1"/>
        <w:ind w:right="758"/>
        <w:rPr>
          <w:sz w:val="20"/>
        </w:rPr>
      </w:pPr>
    </w:p>
    <w:p w:rsidR="00D30108" w:rsidRDefault="00D30108" w:rsidP="00D30108">
      <w:pPr>
        <w:tabs>
          <w:tab w:val="left" w:pos="2611"/>
          <w:tab w:val="left" w:pos="2612"/>
        </w:tabs>
        <w:spacing w:before="1"/>
        <w:ind w:right="758"/>
        <w:rPr>
          <w:sz w:val="20"/>
        </w:rPr>
      </w:pPr>
    </w:p>
    <w:p w:rsidR="00D30108" w:rsidRPr="00B030C4" w:rsidRDefault="00D30108" w:rsidP="00D30108">
      <w:pPr>
        <w:tabs>
          <w:tab w:val="left" w:pos="2611"/>
          <w:tab w:val="left" w:pos="2612"/>
        </w:tabs>
        <w:spacing w:before="1"/>
        <w:ind w:right="758"/>
        <w:rPr>
          <w:sz w:val="20"/>
        </w:rPr>
      </w:pPr>
    </w:p>
    <w:p w:rsidR="00F90477" w:rsidRPr="00EC4A9A" w:rsidRDefault="00F90477" w:rsidP="00F90477">
      <w:pPr>
        <w:numPr>
          <w:ilvl w:val="2"/>
          <w:numId w:val="4"/>
        </w:numPr>
        <w:tabs>
          <w:tab w:val="left" w:pos="2612"/>
        </w:tabs>
        <w:ind w:left="1891" w:right="926" w:firstLine="360"/>
        <w:jc w:val="both"/>
        <w:rPr>
          <w:i/>
          <w:sz w:val="20"/>
        </w:rPr>
      </w:pPr>
      <w:r w:rsidRPr="00B030C4">
        <w:rPr>
          <w:sz w:val="20"/>
        </w:rPr>
        <w:t>Plan</w:t>
      </w:r>
      <w:r w:rsidR="007C4AB3">
        <w:rPr>
          <w:sz w:val="20"/>
        </w:rPr>
        <w:t>(due September 14, 2018)</w:t>
      </w:r>
      <w:r w:rsidRPr="00B030C4">
        <w:rPr>
          <w:spacing w:val="-2"/>
          <w:sz w:val="20"/>
        </w:rPr>
        <w:t xml:space="preserve"> </w:t>
      </w:r>
      <w:r w:rsidRPr="00B030C4">
        <w:rPr>
          <w:sz w:val="20"/>
        </w:rPr>
        <w:t>to</w:t>
      </w:r>
      <w:r w:rsidRPr="00B030C4">
        <w:rPr>
          <w:spacing w:val="-3"/>
          <w:sz w:val="20"/>
        </w:rPr>
        <w:t xml:space="preserve"> </w:t>
      </w:r>
      <w:r w:rsidRPr="00B030C4">
        <w:rPr>
          <w:sz w:val="20"/>
        </w:rPr>
        <w:t>come</w:t>
      </w:r>
      <w:r w:rsidRPr="00B030C4">
        <w:rPr>
          <w:spacing w:val="-4"/>
          <w:sz w:val="20"/>
        </w:rPr>
        <w:t xml:space="preserve"> </w:t>
      </w:r>
      <w:r w:rsidRPr="00B030C4">
        <w:rPr>
          <w:sz w:val="20"/>
        </w:rPr>
        <w:t>into</w:t>
      </w:r>
      <w:r w:rsidRPr="00B030C4">
        <w:rPr>
          <w:spacing w:val="-3"/>
          <w:sz w:val="20"/>
        </w:rPr>
        <w:t xml:space="preserve"> </w:t>
      </w:r>
      <w:r w:rsidRPr="00B030C4">
        <w:rPr>
          <w:sz w:val="20"/>
        </w:rPr>
        <w:t>compliance</w:t>
      </w:r>
      <w:r w:rsidRPr="00B030C4">
        <w:rPr>
          <w:spacing w:val="-2"/>
          <w:sz w:val="20"/>
        </w:rPr>
        <w:t xml:space="preserve"> </w:t>
      </w:r>
      <w:r w:rsidRPr="00B030C4">
        <w:rPr>
          <w:sz w:val="20"/>
        </w:rPr>
        <w:t>with</w:t>
      </w:r>
      <w:r w:rsidRPr="00B030C4">
        <w:rPr>
          <w:spacing w:val="-3"/>
          <w:sz w:val="20"/>
        </w:rPr>
        <w:t xml:space="preserve"> </w:t>
      </w:r>
      <w:r w:rsidRPr="00B030C4">
        <w:rPr>
          <w:sz w:val="20"/>
        </w:rPr>
        <w:t>the</w:t>
      </w:r>
      <w:r w:rsidRPr="00B030C4">
        <w:rPr>
          <w:spacing w:val="-4"/>
          <w:sz w:val="20"/>
        </w:rPr>
        <w:t xml:space="preserve"> </w:t>
      </w:r>
      <w:r w:rsidRPr="00B030C4">
        <w:rPr>
          <w:sz w:val="20"/>
        </w:rPr>
        <w:t>provisions</w:t>
      </w:r>
      <w:r w:rsidRPr="00B030C4">
        <w:rPr>
          <w:spacing w:val="-4"/>
          <w:sz w:val="20"/>
        </w:rPr>
        <w:t xml:space="preserve"> </w:t>
      </w:r>
      <w:r w:rsidRPr="00B030C4">
        <w:rPr>
          <w:sz w:val="20"/>
        </w:rPr>
        <w:t>within</w:t>
      </w:r>
      <w:r w:rsidRPr="00B030C4">
        <w:rPr>
          <w:spacing w:val="-3"/>
          <w:sz w:val="20"/>
        </w:rPr>
        <w:t xml:space="preserve"> </w:t>
      </w:r>
      <w:r w:rsidRPr="00B030C4">
        <w:rPr>
          <w:sz w:val="20"/>
        </w:rPr>
        <w:t>section</w:t>
      </w:r>
      <w:r w:rsidRPr="00B030C4">
        <w:rPr>
          <w:spacing w:val="-3"/>
          <w:sz w:val="20"/>
        </w:rPr>
        <w:t xml:space="preserve"> </w:t>
      </w:r>
      <w:r w:rsidRPr="00B030C4">
        <w:rPr>
          <w:sz w:val="20"/>
        </w:rPr>
        <w:t>1118(b)</w:t>
      </w:r>
      <w:r w:rsidRPr="00B030C4">
        <w:rPr>
          <w:spacing w:val="-3"/>
          <w:sz w:val="20"/>
        </w:rPr>
        <w:t xml:space="preserve"> </w:t>
      </w:r>
    </w:p>
    <w:p w:rsidR="00F90477" w:rsidRDefault="00F90477" w:rsidP="00F90477">
      <w:pPr>
        <w:tabs>
          <w:tab w:val="left" w:pos="2612"/>
        </w:tabs>
        <w:ind w:left="2251" w:right="926"/>
        <w:jc w:val="both"/>
        <w:rPr>
          <w:i/>
          <w:sz w:val="20"/>
        </w:rPr>
      </w:pPr>
      <w:r>
        <w:rPr>
          <w:sz w:val="20"/>
        </w:rPr>
        <w:t xml:space="preserve">        </w:t>
      </w:r>
      <w:r w:rsidRPr="00B030C4">
        <w:rPr>
          <w:sz w:val="20"/>
        </w:rPr>
        <w:t>no</w:t>
      </w:r>
      <w:r w:rsidRPr="00B030C4">
        <w:rPr>
          <w:spacing w:val="-3"/>
          <w:sz w:val="20"/>
        </w:rPr>
        <w:t xml:space="preserve"> </w:t>
      </w:r>
      <w:r w:rsidRPr="00B030C4">
        <w:rPr>
          <w:sz w:val="20"/>
        </w:rPr>
        <w:t>later</w:t>
      </w:r>
      <w:r w:rsidRPr="00B030C4">
        <w:rPr>
          <w:spacing w:val="-4"/>
          <w:sz w:val="20"/>
        </w:rPr>
        <w:t xml:space="preserve"> </w:t>
      </w:r>
      <w:r w:rsidRPr="00B030C4">
        <w:rPr>
          <w:sz w:val="20"/>
        </w:rPr>
        <w:t>than</w:t>
      </w:r>
      <w:r w:rsidRPr="00B030C4">
        <w:rPr>
          <w:spacing w:val="-2"/>
          <w:sz w:val="20"/>
        </w:rPr>
        <w:t xml:space="preserve"> </w:t>
      </w:r>
      <w:r w:rsidRPr="00B030C4">
        <w:rPr>
          <w:sz w:val="20"/>
        </w:rPr>
        <w:t>September</w:t>
      </w:r>
      <w:r w:rsidRPr="00B030C4">
        <w:rPr>
          <w:spacing w:val="-3"/>
          <w:sz w:val="20"/>
        </w:rPr>
        <w:t xml:space="preserve"> </w:t>
      </w:r>
      <w:r w:rsidR="007C4AB3">
        <w:rPr>
          <w:spacing w:val="-3"/>
          <w:sz w:val="20"/>
        </w:rPr>
        <w:t>28</w:t>
      </w:r>
      <w:r w:rsidRPr="00B030C4">
        <w:rPr>
          <w:sz w:val="20"/>
        </w:rPr>
        <w:t>,</w:t>
      </w:r>
      <w:r w:rsidRPr="00B030C4">
        <w:rPr>
          <w:spacing w:val="-3"/>
          <w:sz w:val="20"/>
        </w:rPr>
        <w:t xml:space="preserve"> </w:t>
      </w:r>
      <w:r w:rsidRPr="00B030C4">
        <w:rPr>
          <w:sz w:val="20"/>
        </w:rPr>
        <w:t xml:space="preserve">2018. </w:t>
      </w:r>
      <w:r w:rsidRPr="00B030C4">
        <w:rPr>
          <w:i/>
          <w:sz w:val="20"/>
        </w:rPr>
        <w:t xml:space="preserve">Note: The LEA may provide the narrative description, as selected, in </w:t>
      </w:r>
    </w:p>
    <w:p w:rsidR="00F90477" w:rsidRPr="00B030C4" w:rsidRDefault="00F90477" w:rsidP="00F90477">
      <w:pPr>
        <w:tabs>
          <w:tab w:val="left" w:pos="2612"/>
        </w:tabs>
        <w:ind w:left="2251" w:right="926"/>
        <w:jc w:val="both"/>
        <w:rPr>
          <w:i/>
          <w:sz w:val="20"/>
        </w:rPr>
      </w:pPr>
      <w:r>
        <w:rPr>
          <w:i/>
          <w:sz w:val="20"/>
        </w:rPr>
        <w:t xml:space="preserve">       </w:t>
      </w:r>
      <w:r w:rsidRPr="00B030C4">
        <w:rPr>
          <w:i/>
          <w:sz w:val="20"/>
        </w:rPr>
        <w:t>the text box below or may attach an addendum hereto.</w:t>
      </w:r>
    </w:p>
    <w:p w:rsidR="00F90477" w:rsidRDefault="00F90477" w:rsidP="00F90477">
      <w:pPr>
        <w:ind w:right="735" w:firstLine="720"/>
        <w:outlineLvl w:val="2"/>
        <w:rPr>
          <w:b/>
          <w:bCs/>
          <w:color w:val="4E5657"/>
          <w:sz w:val="20"/>
          <w:szCs w:val="20"/>
        </w:rPr>
      </w:pPr>
      <w:r w:rsidRPr="00B030C4">
        <w:rPr>
          <w:b/>
          <w:bCs/>
          <w:color w:val="4E5657"/>
          <w:sz w:val="20"/>
          <w:szCs w:val="20"/>
        </w:rPr>
        <w:t xml:space="preserve">This form shall remain in effect for the duration of Title I, Part A as authorized under the Every Student Succeeds Act, unless the </w:t>
      </w:r>
    </w:p>
    <w:p w:rsidR="00F90477" w:rsidRDefault="00F90477" w:rsidP="00F90477">
      <w:pPr>
        <w:ind w:right="735" w:firstLine="720"/>
        <w:outlineLvl w:val="2"/>
        <w:rPr>
          <w:b/>
          <w:bCs/>
          <w:color w:val="4E5657"/>
          <w:sz w:val="20"/>
          <w:szCs w:val="20"/>
        </w:rPr>
      </w:pPr>
      <w:r w:rsidRPr="00B030C4">
        <w:rPr>
          <w:b/>
          <w:bCs/>
          <w:color w:val="4E5657"/>
          <w:sz w:val="20"/>
          <w:szCs w:val="20"/>
        </w:rPr>
        <w:t xml:space="preserve">LEA adopts or implements a new or revised methodology for allocating Foundation Program and local funds (non-Federal) </w:t>
      </w:r>
    </w:p>
    <w:p w:rsidR="00F90477" w:rsidRDefault="00F90477" w:rsidP="00F90477">
      <w:pPr>
        <w:ind w:right="735" w:firstLine="720"/>
        <w:outlineLvl w:val="2"/>
        <w:rPr>
          <w:b/>
          <w:bCs/>
          <w:color w:val="4E5657"/>
          <w:sz w:val="20"/>
          <w:szCs w:val="20"/>
        </w:rPr>
      </w:pPr>
      <w:r w:rsidRPr="00B030C4">
        <w:rPr>
          <w:b/>
          <w:bCs/>
          <w:color w:val="4E5657"/>
          <w:sz w:val="20"/>
          <w:szCs w:val="20"/>
        </w:rPr>
        <w:t xml:space="preserve">during such time. Upon adoption or implementation of a revised methodology, it is incumbent upon the LEA to provide an </w:t>
      </w:r>
    </w:p>
    <w:p w:rsidR="00F90477" w:rsidRPr="00B030C4" w:rsidRDefault="00F90477" w:rsidP="00F90477">
      <w:pPr>
        <w:ind w:right="735" w:firstLine="720"/>
        <w:outlineLvl w:val="2"/>
        <w:rPr>
          <w:b/>
          <w:bCs/>
          <w:sz w:val="20"/>
          <w:szCs w:val="20"/>
        </w:rPr>
      </w:pPr>
      <w:r w:rsidRPr="00B030C4">
        <w:rPr>
          <w:b/>
          <w:bCs/>
          <w:color w:val="4E5657"/>
          <w:sz w:val="20"/>
          <w:szCs w:val="20"/>
        </w:rPr>
        <w:t>updated demonstration of compliance form to the Federal Programs Office within the Alabama State Department of Education.</w:t>
      </w:r>
    </w:p>
    <w:p w:rsidR="00F90477" w:rsidRPr="00B030C4" w:rsidRDefault="00F90477" w:rsidP="00F90477">
      <w:pPr>
        <w:spacing w:before="2"/>
        <w:rPr>
          <w:b/>
          <w:sz w:val="20"/>
          <w:szCs w:val="20"/>
        </w:rPr>
      </w:pPr>
    </w:p>
    <w:p w:rsidR="00F90477" w:rsidRPr="00B030C4" w:rsidRDefault="00F90477" w:rsidP="00F90477">
      <w:pPr>
        <w:rPr>
          <w:b/>
          <w:sz w:val="20"/>
          <w:szCs w:val="20"/>
        </w:rPr>
      </w:pPr>
    </w:p>
    <w:p w:rsidR="00F90477" w:rsidRPr="00B030C4" w:rsidRDefault="00F90477" w:rsidP="00F90477">
      <w:pPr>
        <w:spacing w:before="1"/>
        <w:rPr>
          <w:b/>
          <w:sz w:val="14"/>
          <w:szCs w:val="20"/>
        </w:rPr>
      </w:pPr>
      <w:r w:rsidRPr="00B030C4">
        <w:rPr>
          <w:noProof/>
          <w:sz w:val="20"/>
          <w:szCs w:val="20"/>
          <w:lang w:bidi="ar-SA"/>
        </w:rPr>
        <mc:AlternateContent>
          <mc:Choice Requires="wps">
            <w:drawing>
              <wp:anchor distT="0" distB="0" distL="0" distR="0" simplePos="0" relativeHeight="251671552" behindDoc="0" locked="0" layoutInCell="1" allowOverlap="1" wp14:anchorId="67BAB338" wp14:editId="007A4B68">
                <wp:simplePos x="0" y="0"/>
                <wp:positionH relativeFrom="page">
                  <wp:posOffset>914400</wp:posOffset>
                </wp:positionH>
                <wp:positionV relativeFrom="paragraph">
                  <wp:posOffset>138430</wp:posOffset>
                </wp:positionV>
                <wp:extent cx="3658235" cy="0"/>
                <wp:effectExtent l="9525" t="13335" r="8890" b="571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925">
                          <a:solidFill>
                            <a:srgbClr val="4E56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26C59" id="Straight Connector 1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360.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" strokecolor="#4e5657" strokeweight=".22014mm">
                <w10:wrap type="topAndBottom" anchorx="page"/>
              </v:line>
            </w:pict>
          </mc:Fallback>
        </mc:AlternateContent>
      </w:r>
    </w:p>
    <w:p w:rsidR="00F90477" w:rsidRPr="00B030C4" w:rsidRDefault="00F90477" w:rsidP="00F90477">
      <w:pPr>
        <w:spacing w:line="235" w:lineRule="exact"/>
        <w:ind w:left="1440"/>
        <w:rPr>
          <w:sz w:val="20"/>
          <w:szCs w:val="20"/>
        </w:rPr>
      </w:pPr>
      <w:r w:rsidRPr="00B030C4">
        <w:rPr>
          <w:color w:val="4E5657"/>
          <w:sz w:val="20"/>
          <w:szCs w:val="20"/>
        </w:rPr>
        <w:t xml:space="preserve">Name </w:t>
      </w:r>
      <w:r w:rsidR="00D740D2">
        <w:rPr>
          <w:color w:val="4E5657"/>
          <w:sz w:val="20"/>
          <w:szCs w:val="20"/>
        </w:rPr>
        <w:t>Superintendent of Education</w:t>
      </w:r>
      <w:r w:rsidRPr="00B030C4">
        <w:rPr>
          <w:color w:val="4E5657"/>
          <w:sz w:val="20"/>
          <w:szCs w:val="20"/>
        </w:rPr>
        <w:t xml:space="preserve"> (LEA)</w:t>
      </w:r>
    </w:p>
    <w:p w:rsidR="00F90477" w:rsidRPr="00B030C4" w:rsidRDefault="00F90477" w:rsidP="00F90477">
      <w:pPr>
        <w:rPr>
          <w:sz w:val="20"/>
          <w:szCs w:val="20"/>
        </w:rPr>
      </w:pPr>
    </w:p>
    <w:p w:rsidR="00F90477" w:rsidRPr="00B030C4" w:rsidRDefault="00F90477" w:rsidP="00F90477">
      <w:pPr>
        <w:spacing w:before="1"/>
        <w:rPr>
          <w:sz w:val="14"/>
          <w:szCs w:val="20"/>
        </w:rPr>
      </w:pPr>
      <w:r w:rsidRPr="00B030C4">
        <w:rPr>
          <w:noProof/>
          <w:sz w:val="20"/>
          <w:szCs w:val="20"/>
          <w:lang w:bidi="ar-SA"/>
        </w:rPr>
        <mc:AlternateContent>
          <mc:Choice Requires="wps">
            <w:drawing>
              <wp:anchor distT="0" distB="0" distL="0" distR="0" simplePos="0" relativeHeight="251672576" behindDoc="0" locked="0" layoutInCell="1" allowOverlap="1" wp14:anchorId="6EAB8302" wp14:editId="44CDE6B4">
                <wp:simplePos x="0" y="0"/>
                <wp:positionH relativeFrom="page">
                  <wp:posOffset>914400</wp:posOffset>
                </wp:positionH>
                <wp:positionV relativeFrom="paragraph">
                  <wp:posOffset>137795</wp:posOffset>
                </wp:positionV>
                <wp:extent cx="3658235" cy="0"/>
                <wp:effectExtent l="9525" t="13335" r="8890" b="571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4E56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2F4A8" id="Straight Connector 9"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360.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" strokecolor="#4e5657" strokeweight=".6pt">
                <w10:wrap type="topAndBottom" anchorx="page"/>
              </v:line>
            </w:pict>
          </mc:Fallback>
        </mc:AlternateContent>
      </w:r>
    </w:p>
    <w:p w:rsidR="00F90477" w:rsidRDefault="00F90477" w:rsidP="00F90477">
      <w:pPr>
        <w:spacing w:line="236" w:lineRule="exact"/>
        <w:ind w:left="1440"/>
        <w:rPr>
          <w:color w:val="4E5657"/>
          <w:sz w:val="20"/>
          <w:szCs w:val="20"/>
        </w:rPr>
      </w:pPr>
      <w:r w:rsidRPr="00B030C4">
        <w:rPr>
          <w:color w:val="4E5657"/>
          <w:sz w:val="20"/>
          <w:szCs w:val="20"/>
        </w:rPr>
        <w:t xml:space="preserve">Signature of </w:t>
      </w:r>
      <w:r w:rsidR="00D740D2">
        <w:rPr>
          <w:color w:val="4E5657"/>
          <w:sz w:val="20"/>
          <w:szCs w:val="20"/>
        </w:rPr>
        <w:t>Superintendent of Education</w:t>
      </w:r>
      <w:r w:rsidRPr="00B030C4">
        <w:rPr>
          <w:color w:val="4E5657"/>
          <w:sz w:val="20"/>
          <w:szCs w:val="20"/>
        </w:rPr>
        <w:t xml:space="preserve"> (LEA)</w:t>
      </w:r>
    </w:p>
    <w:p w:rsidR="00D740D2" w:rsidRPr="00B030C4" w:rsidRDefault="00D740D2" w:rsidP="00F90477">
      <w:pPr>
        <w:spacing w:line="236" w:lineRule="exact"/>
        <w:ind w:left="1440"/>
        <w:rPr>
          <w:sz w:val="20"/>
          <w:szCs w:val="20"/>
        </w:rPr>
      </w:pPr>
    </w:p>
    <w:p w:rsidR="00F90477" w:rsidRPr="00B030C4" w:rsidRDefault="00F90477" w:rsidP="00F90477">
      <w:pPr>
        <w:rPr>
          <w:sz w:val="20"/>
          <w:szCs w:val="20"/>
        </w:rPr>
      </w:pPr>
    </w:p>
    <w:p w:rsidR="00F90477" w:rsidRPr="00B030C4" w:rsidRDefault="00F90477" w:rsidP="00F90477">
      <w:pPr>
        <w:spacing w:before="1"/>
        <w:rPr>
          <w:sz w:val="14"/>
          <w:szCs w:val="20"/>
        </w:rPr>
      </w:pPr>
      <w:r w:rsidRPr="00B030C4">
        <w:rPr>
          <w:sz w:val="14"/>
          <w:szCs w:val="20"/>
        </w:rPr>
        <w:t xml:space="preserve">                        </w:t>
      </w:r>
      <w:r w:rsidR="00D740D2">
        <w:rPr>
          <w:sz w:val="14"/>
          <w:szCs w:val="20"/>
        </w:rPr>
        <w:tab/>
        <w:t>___________________________________________________________________________________</w:t>
      </w:r>
    </w:p>
    <w:p w:rsidR="00F90477" w:rsidRPr="00B030C4" w:rsidRDefault="00F90477" w:rsidP="00F90477">
      <w:pPr>
        <w:spacing w:line="236" w:lineRule="exact"/>
        <w:ind w:left="1440"/>
        <w:rPr>
          <w:sz w:val="20"/>
          <w:szCs w:val="20"/>
        </w:rPr>
      </w:pPr>
      <w:r w:rsidRPr="00B030C4">
        <w:rPr>
          <w:color w:val="4E5657"/>
          <w:sz w:val="20"/>
          <w:szCs w:val="20"/>
        </w:rPr>
        <w:t xml:space="preserve"> Date</w:t>
      </w:r>
    </w:p>
    <w:p w:rsidR="00F90477" w:rsidRPr="00B030C4" w:rsidRDefault="00F90477" w:rsidP="00F90477">
      <w:pPr>
        <w:rPr>
          <w:sz w:val="20"/>
          <w:szCs w:val="20"/>
        </w:rPr>
      </w:pPr>
    </w:p>
    <w:p w:rsidR="00F90477" w:rsidRDefault="00F90477" w:rsidP="00F90477"/>
    <w:p w:rsidR="00F90477" w:rsidRPr="00F64504" w:rsidRDefault="00F90477" w:rsidP="00482AB4">
      <w:pPr>
        <w:pStyle w:val="Heading3"/>
        <w:ind w:left="0"/>
        <w:rPr>
          <w:b w:val="0"/>
          <w:i/>
        </w:rPr>
        <w:sectPr w:rsidR="00F90477" w:rsidRPr="00F64504" w:rsidSect="004B39B6">
          <w:pgSz w:w="12240" w:h="15840"/>
          <w:pgMar w:top="1260" w:right="0" w:bottom="280" w:left="0" w:header="290" w:footer="0" w:gutter="0"/>
          <w:pgNumType w:start="0"/>
          <w:cols w:space="720"/>
          <w:titlePg/>
          <w:docGrid w:linePitch="299"/>
        </w:sectPr>
      </w:pPr>
    </w:p>
    <w:p w:rsidR="004C32B9" w:rsidRPr="0050565E" w:rsidRDefault="004C32B9" w:rsidP="00482AB4">
      <w:pPr>
        <w:pStyle w:val="Heading3"/>
        <w:ind w:left="0"/>
      </w:pPr>
    </w:p>
    <w:sectPr w:rsidR="004C32B9" w:rsidRPr="0050565E" w:rsidSect="00A6702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31" w:rsidRDefault="007B5631" w:rsidP="00CA4870">
      <w:r>
        <w:separator/>
      </w:r>
    </w:p>
  </w:endnote>
  <w:endnote w:type="continuationSeparator" w:id="0">
    <w:p w:rsidR="007B5631" w:rsidRDefault="007B5631" w:rsidP="00CA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31" w:rsidRDefault="007B5631" w:rsidP="00CA4870">
      <w:r>
        <w:separator/>
      </w:r>
    </w:p>
  </w:footnote>
  <w:footnote w:type="continuationSeparator" w:id="0">
    <w:p w:rsidR="007B5631" w:rsidRDefault="007B5631" w:rsidP="00CA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D1" w:rsidRDefault="003868D1">
    <w:pPr>
      <w:pStyle w:val="Header"/>
      <w:jc w:val="right"/>
    </w:pPr>
    <w:r>
      <w:t xml:space="preserve">Supplement, Not Supplant:  Demonstration Under the Ever Student Succeeds Act </w:t>
    </w:r>
    <w:sdt>
      <w:sdtPr>
        <w:id w:val="12257969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0108">
          <w:rPr>
            <w:noProof/>
          </w:rPr>
          <w:t>3</w:t>
        </w:r>
        <w:r>
          <w:rPr>
            <w:noProof/>
          </w:rPr>
          <w:fldChar w:fldCharType="end"/>
        </w:r>
      </w:sdtContent>
    </w:sdt>
  </w:p>
  <w:p w:rsidR="003868D1" w:rsidRDefault="0038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911C3"/>
    <w:multiLevelType w:val="hybridMultilevel"/>
    <w:tmpl w:val="2304C440"/>
    <w:lvl w:ilvl="0" w:tplc="71CE53A8">
      <w:start w:val="1"/>
      <w:numFmt w:val="upperRoman"/>
      <w:lvlText w:val="%1."/>
      <w:lvlJc w:val="left"/>
      <w:pPr>
        <w:ind w:left="1080" w:hanging="466"/>
        <w:jc w:val="right"/>
      </w:pPr>
      <w:rPr>
        <w:rFonts w:hint="default"/>
        <w:b/>
        <w:bCs/>
        <w:spacing w:val="-1"/>
        <w:w w:val="99"/>
        <w:lang w:val="en-US" w:eastAsia="en-US" w:bidi="en-US"/>
      </w:rPr>
    </w:lvl>
    <w:lvl w:ilvl="1" w:tplc="CE9E2026">
      <w:start w:val="1"/>
      <w:numFmt w:val="lowerLetter"/>
      <w:lvlText w:val="(%2)"/>
      <w:lvlJc w:val="left"/>
      <w:pPr>
        <w:ind w:left="1440" w:hanging="361"/>
      </w:pPr>
      <w:rPr>
        <w:rFonts w:ascii="Calibri" w:eastAsia="Calibri" w:hAnsi="Calibri" w:cs="Calibri" w:hint="default"/>
        <w:spacing w:val="-1"/>
        <w:w w:val="99"/>
        <w:sz w:val="20"/>
        <w:szCs w:val="20"/>
        <w:lang w:val="en-US" w:eastAsia="en-US" w:bidi="en-US"/>
      </w:rPr>
    </w:lvl>
    <w:lvl w:ilvl="2" w:tplc="A30A5822">
      <w:numFmt w:val="bullet"/>
      <w:lvlText w:val="•"/>
      <w:lvlJc w:val="left"/>
      <w:pPr>
        <w:ind w:left="2640" w:hanging="361"/>
      </w:pPr>
      <w:rPr>
        <w:rFonts w:hint="default"/>
        <w:lang w:val="en-US" w:eastAsia="en-US" w:bidi="en-US"/>
      </w:rPr>
    </w:lvl>
    <w:lvl w:ilvl="3" w:tplc="7B643AC0">
      <w:numFmt w:val="bullet"/>
      <w:lvlText w:val="•"/>
      <w:lvlJc w:val="left"/>
      <w:pPr>
        <w:ind w:left="3840" w:hanging="361"/>
      </w:pPr>
      <w:rPr>
        <w:rFonts w:hint="default"/>
        <w:lang w:val="en-US" w:eastAsia="en-US" w:bidi="en-US"/>
      </w:rPr>
    </w:lvl>
    <w:lvl w:ilvl="4" w:tplc="51B02BE2">
      <w:numFmt w:val="bullet"/>
      <w:lvlText w:val="•"/>
      <w:lvlJc w:val="left"/>
      <w:pPr>
        <w:ind w:left="5040" w:hanging="361"/>
      </w:pPr>
      <w:rPr>
        <w:rFonts w:hint="default"/>
        <w:lang w:val="en-US" w:eastAsia="en-US" w:bidi="en-US"/>
      </w:rPr>
    </w:lvl>
    <w:lvl w:ilvl="5" w:tplc="C682F976">
      <w:numFmt w:val="bullet"/>
      <w:lvlText w:val="•"/>
      <w:lvlJc w:val="left"/>
      <w:pPr>
        <w:ind w:left="6240" w:hanging="361"/>
      </w:pPr>
      <w:rPr>
        <w:rFonts w:hint="default"/>
        <w:lang w:val="en-US" w:eastAsia="en-US" w:bidi="en-US"/>
      </w:rPr>
    </w:lvl>
    <w:lvl w:ilvl="6" w:tplc="E2321A3E">
      <w:numFmt w:val="bullet"/>
      <w:lvlText w:val="•"/>
      <w:lvlJc w:val="left"/>
      <w:pPr>
        <w:ind w:left="7440" w:hanging="361"/>
      </w:pPr>
      <w:rPr>
        <w:rFonts w:hint="default"/>
        <w:lang w:val="en-US" w:eastAsia="en-US" w:bidi="en-US"/>
      </w:rPr>
    </w:lvl>
    <w:lvl w:ilvl="7" w:tplc="20884CAE">
      <w:numFmt w:val="bullet"/>
      <w:lvlText w:val="•"/>
      <w:lvlJc w:val="left"/>
      <w:pPr>
        <w:ind w:left="8640" w:hanging="361"/>
      </w:pPr>
      <w:rPr>
        <w:rFonts w:hint="default"/>
        <w:lang w:val="en-US" w:eastAsia="en-US" w:bidi="en-US"/>
      </w:rPr>
    </w:lvl>
    <w:lvl w:ilvl="8" w:tplc="1A1A9572">
      <w:numFmt w:val="bullet"/>
      <w:lvlText w:val="•"/>
      <w:lvlJc w:val="left"/>
      <w:pPr>
        <w:ind w:left="9840" w:hanging="361"/>
      </w:pPr>
      <w:rPr>
        <w:rFonts w:hint="default"/>
        <w:lang w:val="en-US" w:eastAsia="en-US" w:bidi="en-US"/>
      </w:rPr>
    </w:lvl>
  </w:abstractNum>
  <w:abstractNum w:abstractNumId="1" w15:restartNumberingAfterBreak="0">
    <w:nsid w:val="2812026C"/>
    <w:multiLevelType w:val="hybridMultilevel"/>
    <w:tmpl w:val="D0003C28"/>
    <w:lvl w:ilvl="0" w:tplc="1F66EB46">
      <w:numFmt w:val="bullet"/>
      <w:lvlText w:val=""/>
      <w:lvlJc w:val="left"/>
      <w:pPr>
        <w:ind w:left="1890"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12806E1"/>
    <w:multiLevelType w:val="hybridMultilevel"/>
    <w:tmpl w:val="4A6EE3C2"/>
    <w:lvl w:ilvl="0" w:tplc="ADA62C56">
      <w:start w:val="1"/>
      <w:numFmt w:val="decimal"/>
      <w:lvlText w:val="%1."/>
      <w:lvlJc w:val="left"/>
      <w:pPr>
        <w:ind w:left="1171" w:hanging="361"/>
      </w:pPr>
      <w:rPr>
        <w:rFonts w:ascii="Calibri" w:eastAsia="Calibri" w:hAnsi="Calibri" w:cs="Calibri"/>
        <w:color w:val="4E5657"/>
        <w:spacing w:val="-1"/>
        <w:w w:val="99"/>
        <w:sz w:val="20"/>
        <w:szCs w:val="20"/>
        <w:lang w:val="en-US" w:eastAsia="en-US" w:bidi="en-US"/>
      </w:rPr>
    </w:lvl>
    <w:lvl w:ilvl="1" w:tplc="04823D08">
      <w:start w:val="1"/>
      <w:numFmt w:val="lowerLetter"/>
      <w:lvlText w:val="%2."/>
      <w:lvlJc w:val="left"/>
      <w:pPr>
        <w:ind w:left="1261" w:hanging="361"/>
      </w:pPr>
      <w:rPr>
        <w:rFonts w:ascii="Calibri" w:eastAsia="Calibri" w:hAnsi="Calibri" w:cs="Calibri"/>
        <w:color w:val="4E5657"/>
        <w:w w:val="99"/>
        <w:sz w:val="20"/>
        <w:szCs w:val="20"/>
        <w:lang w:val="en-US" w:eastAsia="en-US" w:bidi="en-US"/>
      </w:rPr>
    </w:lvl>
    <w:lvl w:ilvl="2" w:tplc="71288420">
      <w:numFmt w:val="bullet"/>
      <w:lvlText w:val="•"/>
      <w:lvlJc w:val="left"/>
      <w:pPr>
        <w:ind w:left="2562" w:hanging="361"/>
      </w:pPr>
      <w:rPr>
        <w:rFonts w:hint="default"/>
        <w:lang w:val="en-US" w:eastAsia="en-US" w:bidi="en-US"/>
      </w:rPr>
    </w:lvl>
    <w:lvl w:ilvl="3" w:tplc="5ACEE512">
      <w:numFmt w:val="bullet"/>
      <w:lvlText w:val="•"/>
      <w:lvlJc w:val="left"/>
      <w:pPr>
        <w:ind w:left="3257" w:hanging="361"/>
      </w:pPr>
      <w:rPr>
        <w:rFonts w:hint="default"/>
        <w:lang w:val="en-US" w:eastAsia="en-US" w:bidi="en-US"/>
      </w:rPr>
    </w:lvl>
    <w:lvl w:ilvl="4" w:tplc="96E0AF78">
      <w:numFmt w:val="bullet"/>
      <w:lvlText w:val="•"/>
      <w:lvlJc w:val="left"/>
      <w:pPr>
        <w:ind w:left="3953" w:hanging="361"/>
      </w:pPr>
      <w:rPr>
        <w:rFonts w:hint="default"/>
        <w:lang w:val="en-US" w:eastAsia="en-US" w:bidi="en-US"/>
      </w:rPr>
    </w:lvl>
    <w:lvl w:ilvl="5" w:tplc="09A0C0B0">
      <w:numFmt w:val="bullet"/>
      <w:lvlText w:val="•"/>
      <w:lvlJc w:val="left"/>
      <w:pPr>
        <w:ind w:left="4648" w:hanging="361"/>
      </w:pPr>
      <w:rPr>
        <w:rFonts w:hint="default"/>
        <w:lang w:val="en-US" w:eastAsia="en-US" w:bidi="en-US"/>
      </w:rPr>
    </w:lvl>
    <w:lvl w:ilvl="6" w:tplc="CF84B6A4">
      <w:numFmt w:val="bullet"/>
      <w:lvlText w:val="•"/>
      <w:lvlJc w:val="left"/>
      <w:pPr>
        <w:ind w:left="5344" w:hanging="361"/>
      </w:pPr>
      <w:rPr>
        <w:rFonts w:hint="default"/>
        <w:lang w:val="en-US" w:eastAsia="en-US" w:bidi="en-US"/>
      </w:rPr>
    </w:lvl>
    <w:lvl w:ilvl="7" w:tplc="32FA2D3A">
      <w:numFmt w:val="bullet"/>
      <w:lvlText w:val="•"/>
      <w:lvlJc w:val="left"/>
      <w:pPr>
        <w:ind w:left="6040" w:hanging="361"/>
      </w:pPr>
      <w:rPr>
        <w:rFonts w:hint="default"/>
        <w:lang w:val="en-US" w:eastAsia="en-US" w:bidi="en-US"/>
      </w:rPr>
    </w:lvl>
    <w:lvl w:ilvl="8" w:tplc="98A8FF04">
      <w:numFmt w:val="bullet"/>
      <w:lvlText w:val="•"/>
      <w:lvlJc w:val="left"/>
      <w:pPr>
        <w:ind w:left="6735" w:hanging="361"/>
      </w:pPr>
      <w:rPr>
        <w:rFonts w:hint="default"/>
        <w:lang w:val="en-US" w:eastAsia="en-US" w:bidi="en-US"/>
      </w:rPr>
    </w:lvl>
  </w:abstractNum>
  <w:abstractNum w:abstractNumId="3" w15:restartNumberingAfterBreak="0">
    <w:nsid w:val="45842966"/>
    <w:multiLevelType w:val="hybridMultilevel"/>
    <w:tmpl w:val="F4E82F30"/>
    <w:lvl w:ilvl="0" w:tplc="CF6CF89E">
      <w:numFmt w:val="bullet"/>
      <w:lvlText w:val=""/>
      <w:lvlJc w:val="left"/>
      <w:pPr>
        <w:ind w:left="1170" w:hanging="360"/>
      </w:pPr>
      <w:rPr>
        <w:rFonts w:ascii="Wingdings" w:eastAsia="Wingdings" w:hAnsi="Wingdings" w:cs="Wingdings" w:hint="default"/>
        <w:color w:val="4E5657"/>
        <w:w w:val="99"/>
        <w:sz w:val="20"/>
        <w:szCs w:val="20"/>
        <w:lang w:val="en-US" w:eastAsia="en-US" w:bidi="en-US"/>
      </w:rPr>
    </w:lvl>
    <w:lvl w:ilvl="1" w:tplc="6F2C451A">
      <w:numFmt w:val="bullet"/>
      <w:lvlText w:val="•"/>
      <w:lvlJc w:val="left"/>
      <w:pPr>
        <w:ind w:left="1836" w:hanging="360"/>
      </w:pPr>
      <w:rPr>
        <w:rFonts w:hint="default"/>
        <w:lang w:val="en-US" w:eastAsia="en-US" w:bidi="en-US"/>
      </w:rPr>
    </w:lvl>
    <w:lvl w:ilvl="2" w:tplc="5050A0BE">
      <w:numFmt w:val="bullet"/>
      <w:lvlText w:val="•"/>
      <w:lvlJc w:val="left"/>
      <w:pPr>
        <w:ind w:left="2952" w:hanging="360"/>
      </w:pPr>
      <w:rPr>
        <w:rFonts w:hint="default"/>
        <w:lang w:val="en-US" w:eastAsia="en-US" w:bidi="en-US"/>
      </w:rPr>
    </w:lvl>
    <w:lvl w:ilvl="3" w:tplc="0AACB5B4">
      <w:numFmt w:val="bullet"/>
      <w:lvlText w:val="•"/>
      <w:lvlJc w:val="left"/>
      <w:pPr>
        <w:ind w:left="4068" w:hanging="360"/>
      </w:pPr>
      <w:rPr>
        <w:rFonts w:hint="default"/>
        <w:lang w:val="en-US" w:eastAsia="en-US" w:bidi="en-US"/>
      </w:rPr>
    </w:lvl>
    <w:lvl w:ilvl="4" w:tplc="4B209568">
      <w:numFmt w:val="bullet"/>
      <w:lvlText w:val="•"/>
      <w:lvlJc w:val="left"/>
      <w:pPr>
        <w:ind w:left="5184" w:hanging="360"/>
      </w:pPr>
      <w:rPr>
        <w:rFonts w:hint="default"/>
        <w:lang w:val="en-US" w:eastAsia="en-US" w:bidi="en-US"/>
      </w:rPr>
    </w:lvl>
    <w:lvl w:ilvl="5" w:tplc="2B1E85D4">
      <w:numFmt w:val="bullet"/>
      <w:lvlText w:val="•"/>
      <w:lvlJc w:val="left"/>
      <w:pPr>
        <w:ind w:left="6300" w:hanging="360"/>
      </w:pPr>
      <w:rPr>
        <w:rFonts w:hint="default"/>
        <w:lang w:val="en-US" w:eastAsia="en-US" w:bidi="en-US"/>
      </w:rPr>
    </w:lvl>
    <w:lvl w:ilvl="6" w:tplc="B2C6E4AA">
      <w:numFmt w:val="bullet"/>
      <w:lvlText w:val="•"/>
      <w:lvlJc w:val="left"/>
      <w:pPr>
        <w:ind w:left="7416" w:hanging="360"/>
      </w:pPr>
      <w:rPr>
        <w:rFonts w:hint="default"/>
        <w:lang w:val="en-US" w:eastAsia="en-US" w:bidi="en-US"/>
      </w:rPr>
    </w:lvl>
    <w:lvl w:ilvl="7" w:tplc="CA166014">
      <w:numFmt w:val="bullet"/>
      <w:lvlText w:val="•"/>
      <w:lvlJc w:val="left"/>
      <w:pPr>
        <w:ind w:left="8532" w:hanging="360"/>
      </w:pPr>
      <w:rPr>
        <w:rFonts w:hint="default"/>
        <w:lang w:val="en-US" w:eastAsia="en-US" w:bidi="en-US"/>
      </w:rPr>
    </w:lvl>
    <w:lvl w:ilvl="8" w:tplc="39FE3464">
      <w:numFmt w:val="bullet"/>
      <w:lvlText w:val="•"/>
      <w:lvlJc w:val="left"/>
      <w:pPr>
        <w:ind w:left="9648" w:hanging="360"/>
      </w:pPr>
      <w:rPr>
        <w:rFonts w:hint="default"/>
        <w:lang w:val="en-US" w:eastAsia="en-US" w:bidi="en-US"/>
      </w:rPr>
    </w:lvl>
  </w:abstractNum>
  <w:abstractNum w:abstractNumId="4" w15:restartNumberingAfterBreak="0">
    <w:nsid w:val="52F83515"/>
    <w:multiLevelType w:val="hybridMultilevel"/>
    <w:tmpl w:val="A484FBF0"/>
    <w:lvl w:ilvl="0" w:tplc="28408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523FD6"/>
    <w:multiLevelType w:val="hybridMultilevel"/>
    <w:tmpl w:val="0FAE0940"/>
    <w:lvl w:ilvl="0" w:tplc="333CD54A">
      <w:start w:val="1"/>
      <w:numFmt w:val="lowerLetter"/>
      <w:lvlText w:val="%1."/>
      <w:lvlJc w:val="left"/>
      <w:pPr>
        <w:ind w:left="1263" w:hanging="183"/>
      </w:pPr>
      <w:rPr>
        <w:rFonts w:ascii="Calibri" w:eastAsia="Calibri" w:hAnsi="Calibri" w:cs="Calibri" w:hint="default"/>
        <w:w w:val="99"/>
        <w:sz w:val="20"/>
        <w:szCs w:val="20"/>
        <w:lang w:val="en-US" w:eastAsia="en-US" w:bidi="en-US"/>
      </w:rPr>
    </w:lvl>
    <w:lvl w:ilvl="1" w:tplc="1F66EB46">
      <w:numFmt w:val="bullet"/>
      <w:lvlText w:val=""/>
      <w:lvlJc w:val="left"/>
      <w:pPr>
        <w:ind w:left="4427" w:hanging="360"/>
      </w:pPr>
      <w:rPr>
        <w:rFonts w:ascii="Wingdings" w:eastAsia="Wingdings" w:hAnsi="Wingdings" w:cs="Wingdings" w:hint="default"/>
        <w:w w:val="99"/>
        <w:sz w:val="20"/>
        <w:szCs w:val="20"/>
        <w:lang w:val="en-US" w:eastAsia="en-US" w:bidi="en-US"/>
      </w:rPr>
    </w:lvl>
    <w:lvl w:ilvl="2" w:tplc="78805540">
      <w:numFmt w:val="bullet"/>
      <w:lvlText w:val="o"/>
      <w:lvlJc w:val="left"/>
      <w:pPr>
        <w:ind w:left="5010" w:hanging="360"/>
      </w:pPr>
      <w:rPr>
        <w:rFonts w:ascii="Courier New" w:eastAsia="Courier New" w:hAnsi="Courier New" w:cs="Courier New" w:hint="default"/>
        <w:w w:val="99"/>
        <w:position w:val="2"/>
        <w:sz w:val="20"/>
        <w:szCs w:val="20"/>
        <w:lang w:val="en-US" w:eastAsia="en-US" w:bidi="en-US"/>
      </w:rPr>
    </w:lvl>
    <w:lvl w:ilvl="3" w:tplc="124A2360">
      <w:numFmt w:val="bullet"/>
      <w:lvlText w:val="•"/>
      <w:lvlJc w:val="left"/>
      <w:pPr>
        <w:ind w:left="5067" w:hanging="360"/>
      </w:pPr>
      <w:rPr>
        <w:rFonts w:hint="default"/>
        <w:lang w:val="en-US" w:eastAsia="en-US" w:bidi="en-US"/>
      </w:rPr>
    </w:lvl>
    <w:lvl w:ilvl="4" w:tplc="A3627918">
      <w:numFmt w:val="bullet"/>
      <w:lvlText w:val="•"/>
      <w:lvlJc w:val="left"/>
      <w:pPr>
        <w:ind w:left="6441" w:hanging="360"/>
      </w:pPr>
      <w:rPr>
        <w:rFonts w:hint="default"/>
        <w:lang w:val="en-US" w:eastAsia="en-US" w:bidi="en-US"/>
      </w:rPr>
    </w:lvl>
    <w:lvl w:ilvl="5" w:tplc="F83E23B4">
      <w:numFmt w:val="bullet"/>
      <w:lvlText w:val="•"/>
      <w:lvlJc w:val="left"/>
      <w:pPr>
        <w:ind w:left="7815" w:hanging="360"/>
      </w:pPr>
      <w:rPr>
        <w:rFonts w:hint="default"/>
        <w:lang w:val="en-US" w:eastAsia="en-US" w:bidi="en-US"/>
      </w:rPr>
    </w:lvl>
    <w:lvl w:ilvl="6" w:tplc="1AB4EFBC">
      <w:numFmt w:val="bullet"/>
      <w:lvlText w:val="•"/>
      <w:lvlJc w:val="left"/>
      <w:pPr>
        <w:ind w:left="9189" w:hanging="360"/>
      </w:pPr>
      <w:rPr>
        <w:rFonts w:hint="default"/>
        <w:lang w:val="en-US" w:eastAsia="en-US" w:bidi="en-US"/>
      </w:rPr>
    </w:lvl>
    <w:lvl w:ilvl="7" w:tplc="974849F0">
      <w:numFmt w:val="bullet"/>
      <w:lvlText w:val="•"/>
      <w:lvlJc w:val="left"/>
      <w:pPr>
        <w:ind w:left="10564" w:hanging="360"/>
      </w:pPr>
      <w:rPr>
        <w:rFonts w:hint="default"/>
        <w:lang w:val="en-US" w:eastAsia="en-US" w:bidi="en-US"/>
      </w:rPr>
    </w:lvl>
    <w:lvl w:ilvl="8" w:tplc="08D2E262">
      <w:numFmt w:val="bullet"/>
      <w:lvlText w:val="•"/>
      <w:lvlJc w:val="left"/>
      <w:pPr>
        <w:ind w:left="11938" w:hanging="360"/>
      </w:pPr>
      <w:rPr>
        <w:rFonts w:hint="default"/>
        <w:lang w:val="en-US" w:eastAsia="en-US" w:bidi="en-US"/>
      </w:rPr>
    </w:lvl>
  </w:abstractNum>
  <w:abstractNum w:abstractNumId="6" w15:restartNumberingAfterBreak="0">
    <w:nsid w:val="5C980F14"/>
    <w:multiLevelType w:val="hybridMultilevel"/>
    <w:tmpl w:val="51406BE6"/>
    <w:lvl w:ilvl="0" w:tplc="D4C2D12E">
      <w:start w:val="1"/>
      <w:numFmt w:val="lowerLetter"/>
      <w:lvlText w:val="(%1)"/>
      <w:lvlJc w:val="left"/>
      <w:pPr>
        <w:ind w:left="450" w:hanging="360"/>
      </w:pPr>
      <w:rPr>
        <w:rFonts w:ascii="Calibri" w:eastAsia="Calibri" w:hAnsi="Calibri" w:cs="Calibri" w:hint="default"/>
        <w:color w:val="4E5657"/>
        <w:spacing w:val="-1"/>
        <w:w w:val="99"/>
        <w:sz w:val="20"/>
        <w:szCs w:val="20"/>
        <w:lang w:val="en-US" w:eastAsia="en-US" w:bidi="en-US"/>
      </w:rPr>
    </w:lvl>
    <w:lvl w:ilvl="1" w:tplc="57E8F4B2">
      <w:numFmt w:val="bullet"/>
      <w:lvlText w:val="•"/>
      <w:lvlJc w:val="left"/>
      <w:pPr>
        <w:ind w:left="1566" w:hanging="360"/>
      </w:pPr>
      <w:rPr>
        <w:rFonts w:hint="default"/>
        <w:lang w:val="en-US" w:eastAsia="en-US" w:bidi="en-US"/>
      </w:rPr>
    </w:lvl>
    <w:lvl w:ilvl="2" w:tplc="1B9215E6">
      <w:numFmt w:val="bullet"/>
      <w:lvlText w:val="•"/>
      <w:lvlJc w:val="left"/>
      <w:pPr>
        <w:ind w:left="2682" w:hanging="360"/>
      </w:pPr>
      <w:rPr>
        <w:rFonts w:hint="default"/>
        <w:lang w:val="en-US" w:eastAsia="en-US" w:bidi="en-US"/>
      </w:rPr>
    </w:lvl>
    <w:lvl w:ilvl="3" w:tplc="7F16CC86">
      <w:numFmt w:val="bullet"/>
      <w:lvlText w:val="•"/>
      <w:lvlJc w:val="left"/>
      <w:pPr>
        <w:ind w:left="3798" w:hanging="360"/>
      </w:pPr>
      <w:rPr>
        <w:rFonts w:hint="default"/>
        <w:lang w:val="en-US" w:eastAsia="en-US" w:bidi="en-US"/>
      </w:rPr>
    </w:lvl>
    <w:lvl w:ilvl="4" w:tplc="AC466552">
      <w:numFmt w:val="bullet"/>
      <w:lvlText w:val="•"/>
      <w:lvlJc w:val="left"/>
      <w:pPr>
        <w:ind w:left="4914" w:hanging="360"/>
      </w:pPr>
      <w:rPr>
        <w:rFonts w:hint="default"/>
        <w:lang w:val="en-US" w:eastAsia="en-US" w:bidi="en-US"/>
      </w:rPr>
    </w:lvl>
    <w:lvl w:ilvl="5" w:tplc="81669B5E">
      <w:numFmt w:val="bullet"/>
      <w:lvlText w:val="•"/>
      <w:lvlJc w:val="left"/>
      <w:pPr>
        <w:ind w:left="6030" w:hanging="360"/>
      </w:pPr>
      <w:rPr>
        <w:rFonts w:hint="default"/>
        <w:lang w:val="en-US" w:eastAsia="en-US" w:bidi="en-US"/>
      </w:rPr>
    </w:lvl>
    <w:lvl w:ilvl="6" w:tplc="E2E87230">
      <w:numFmt w:val="bullet"/>
      <w:lvlText w:val="•"/>
      <w:lvlJc w:val="left"/>
      <w:pPr>
        <w:ind w:left="7146" w:hanging="360"/>
      </w:pPr>
      <w:rPr>
        <w:rFonts w:hint="default"/>
        <w:lang w:val="en-US" w:eastAsia="en-US" w:bidi="en-US"/>
      </w:rPr>
    </w:lvl>
    <w:lvl w:ilvl="7" w:tplc="FB9E905E">
      <w:numFmt w:val="bullet"/>
      <w:lvlText w:val="•"/>
      <w:lvlJc w:val="left"/>
      <w:pPr>
        <w:ind w:left="8262" w:hanging="360"/>
      </w:pPr>
      <w:rPr>
        <w:rFonts w:hint="default"/>
        <w:lang w:val="en-US" w:eastAsia="en-US" w:bidi="en-US"/>
      </w:rPr>
    </w:lvl>
    <w:lvl w:ilvl="8" w:tplc="EE6078E0">
      <w:numFmt w:val="bullet"/>
      <w:lvlText w:val="•"/>
      <w:lvlJc w:val="left"/>
      <w:pPr>
        <w:ind w:left="9378" w:hanging="360"/>
      </w:pPr>
      <w:rPr>
        <w:rFonts w:hint="default"/>
        <w:lang w:val="en-US" w:eastAsia="en-US" w:bidi="en-US"/>
      </w:rPr>
    </w:lvl>
  </w:abstractNum>
  <w:abstractNum w:abstractNumId="7" w15:restartNumberingAfterBreak="0">
    <w:nsid w:val="65EC4DFE"/>
    <w:multiLevelType w:val="hybridMultilevel"/>
    <w:tmpl w:val="9A80A13E"/>
    <w:lvl w:ilvl="0" w:tplc="1F66EB46">
      <w:numFmt w:val="bullet"/>
      <w:lvlText w:val=""/>
      <w:lvlJc w:val="left"/>
      <w:pPr>
        <w:ind w:left="1800"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70"/>
    <w:rsid w:val="00004A54"/>
    <w:rsid w:val="00006314"/>
    <w:rsid w:val="0002215A"/>
    <w:rsid w:val="00023985"/>
    <w:rsid w:val="00060090"/>
    <w:rsid w:val="00062787"/>
    <w:rsid w:val="000723BD"/>
    <w:rsid w:val="00077975"/>
    <w:rsid w:val="000928FA"/>
    <w:rsid w:val="000C0077"/>
    <w:rsid w:val="000C357E"/>
    <w:rsid w:val="000E070D"/>
    <w:rsid w:val="000F4B48"/>
    <w:rsid w:val="000F5FBB"/>
    <w:rsid w:val="001002F7"/>
    <w:rsid w:val="001073F3"/>
    <w:rsid w:val="00133FCD"/>
    <w:rsid w:val="001951AB"/>
    <w:rsid w:val="001C26C8"/>
    <w:rsid w:val="0021387E"/>
    <w:rsid w:val="002370CF"/>
    <w:rsid w:val="00283B68"/>
    <w:rsid w:val="0028662D"/>
    <w:rsid w:val="002D2E22"/>
    <w:rsid w:val="002F0A39"/>
    <w:rsid w:val="003274A4"/>
    <w:rsid w:val="00333604"/>
    <w:rsid w:val="00351CAF"/>
    <w:rsid w:val="003868D1"/>
    <w:rsid w:val="003A2791"/>
    <w:rsid w:val="003F7247"/>
    <w:rsid w:val="00411AEE"/>
    <w:rsid w:val="00414DB0"/>
    <w:rsid w:val="0042341A"/>
    <w:rsid w:val="00461DDD"/>
    <w:rsid w:val="00473E90"/>
    <w:rsid w:val="00482AB4"/>
    <w:rsid w:val="004A7436"/>
    <w:rsid w:val="004B39B6"/>
    <w:rsid w:val="004C04E0"/>
    <w:rsid w:val="004C32B9"/>
    <w:rsid w:val="004C7A57"/>
    <w:rsid w:val="0050565E"/>
    <w:rsid w:val="00541D89"/>
    <w:rsid w:val="00550209"/>
    <w:rsid w:val="005672C3"/>
    <w:rsid w:val="005761C8"/>
    <w:rsid w:val="005B66F6"/>
    <w:rsid w:val="005F3B0B"/>
    <w:rsid w:val="005F432B"/>
    <w:rsid w:val="00616050"/>
    <w:rsid w:val="00626692"/>
    <w:rsid w:val="006566C2"/>
    <w:rsid w:val="00695A82"/>
    <w:rsid w:val="006B0FF7"/>
    <w:rsid w:val="00717DF2"/>
    <w:rsid w:val="00722B0A"/>
    <w:rsid w:val="0072497E"/>
    <w:rsid w:val="00724B31"/>
    <w:rsid w:val="007726DB"/>
    <w:rsid w:val="007B5631"/>
    <w:rsid w:val="007C4AB3"/>
    <w:rsid w:val="00815DC1"/>
    <w:rsid w:val="00834F34"/>
    <w:rsid w:val="00840728"/>
    <w:rsid w:val="00857CAE"/>
    <w:rsid w:val="00863FA6"/>
    <w:rsid w:val="0088730C"/>
    <w:rsid w:val="0089675E"/>
    <w:rsid w:val="008B6C71"/>
    <w:rsid w:val="008E3FB1"/>
    <w:rsid w:val="009B180B"/>
    <w:rsid w:val="00A6702F"/>
    <w:rsid w:val="00A7693A"/>
    <w:rsid w:val="00AE03A5"/>
    <w:rsid w:val="00B13F6E"/>
    <w:rsid w:val="00B20EAA"/>
    <w:rsid w:val="00B76FD0"/>
    <w:rsid w:val="00B90FC5"/>
    <w:rsid w:val="00B929BC"/>
    <w:rsid w:val="00BA2DCF"/>
    <w:rsid w:val="00BB5D74"/>
    <w:rsid w:val="00C0595A"/>
    <w:rsid w:val="00C5196B"/>
    <w:rsid w:val="00C90E6F"/>
    <w:rsid w:val="00CA4870"/>
    <w:rsid w:val="00CD32A8"/>
    <w:rsid w:val="00CF68B2"/>
    <w:rsid w:val="00D07F23"/>
    <w:rsid w:val="00D30108"/>
    <w:rsid w:val="00D740D2"/>
    <w:rsid w:val="00DC00D7"/>
    <w:rsid w:val="00E0462F"/>
    <w:rsid w:val="00E12D97"/>
    <w:rsid w:val="00E35F18"/>
    <w:rsid w:val="00E468FD"/>
    <w:rsid w:val="00EA5F8B"/>
    <w:rsid w:val="00F506D1"/>
    <w:rsid w:val="00F64504"/>
    <w:rsid w:val="00F75B0A"/>
    <w:rsid w:val="00F90477"/>
    <w:rsid w:val="00FA2799"/>
    <w:rsid w:val="00FC68F0"/>
    <w:rsid w:val="00FF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E85C03-2E56-4001-8B5E-FA9BC1C6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23BD"/>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0723BD"/>
    <w:pPr>
      <w:spacing w:before="1"/>
      <w:ind w:left="720"/>
      <w:outlineLvl w:val="0"/>
    </w:pPr>
    <w:rPr>
      <w:rFonts w:ascii="Trebuchet MS" w:eastAsia="Trebuchet MS" w:hAnsi="Trebuchet MS" w:cs="Trebuchet MS"/>
      <w:b/>
      <w:bCs/>
      <w:sz w:val="24"/>
      <w:szCs w:val="24"/>
      <w:u w:val="single" w:color="000000"/>
    </w:rPr>
  </w:style>
  <w:style w:type="paragraph" w:styleId="Heading2">
    <w:name w:val="heading 2"/>
    <w:basedOn w:val="Normal"/>
    <w:next w:val="Normal"/>
    <w:link w:val="Heading2Char"/>
    <w:uiPriority w:val="9"/>
    <w:semiHidden/>
    <w:unhideWhenUsed/>
    <w:qFormat/>
    <w:rsid w:val="00CF68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0723BD"/>
    <w:pPr>
      <w:ind w:left="7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B0B"/>
    <w:rPr>
      <w:color w:val="808080"/>
    </w:rPr>
  </w:style>
  <w:style w:type="paragraph" w:styleId="Header">
    <w:name w:val="header"/>
    <w:basedOn w:val="Normal"/>
    <w:link w:val="HeaderChar"/>
    <w:uiPriority w:val="99"/>
    <w:unhideWhenUsed/>
    <w:rsid w:val="00CA4870"/>
    <w:pPr>
      <w:tabs>
        <w:tab w:val="center" w:pos="4680"/>
        <w:tab w:val="right" w:pos="9360"/>
      </w:tabs>
    </w:pPr>
  </w:style>
  <w:style w:type="character" w:customStyle="1" w:styleId="HeaderChar">
    <w:name w:val="Header Char"/>
    <w:basedOn w:val="DefaultParagraphFont"/>
    <w:link w:val="Header"/>
    <w:uiPriority w:val="99"/>
    <w:rsid w:val="00CA4870"/>
  </w:style>
  <w:style w:type="paragraph" w:styleId="Footer">
    <w:name w:val="footer"/>
    <w:basedOn w:val="Normal"/>
    <w:link w:val="FooterChar"/>
    <w:uiPriority w:val="99"/>
    <w:unhideWhenUsed/>
    <w:rsid w:val="00CA4870"/>
    <w:pPr>
      <w:tabs>
        <w:tab w:val="center" w:pos="4680"/>
        <w:tab w:val="right" w:pos="9360"/>
      </w:tabs>
    </w:pPr>
  </w:style>
  <w:style w:type="character" w:customStyle="1" w:styleId="FooterChar">
    <w:name w:val="Footer Char"/>
    <w:basedOn w:val="DefaultParagraphFont"/>
    <w:link w:val="Footer"/>
    <w:uiPriority w:val="99"/>
    <w:rsid w:val="00CA4870"/>
  </w:style>
  <w:style w:type="character" w:customStyle="1" w:styleId="Heading1Char">
    <w:name w:val="Heading 1 Char"/>
    <w:basedOn w:val="DefaultParagraphFont"/>
    <w:link w:val="Heading1"/>
    <w:uiPriority w:val="1"/>
    <w:rsid w:val="000723BD"/>
    <w:rPr>
      <w:rFonts w:ascii="Trebuchet MS" w:eastAsia="Trebuchet MS" w:hAnsi="Trebuchet MS" w:cs="Trebuchet MS"/>
      <w:b/>
      <w:bCs/>
      <w:sz w:val="24"/>
      <w:szCs w:val="24"/>
      <w:u w:val="single" w:color="000000"/>
      <w:lang w:bidi="en-US"/>
    </w:rPr>
  </w:style>
  <w:style w:type="character" w:customStyle="1" w:styleId="Heading3Char">
    <w:name w:val="Heading 3 Char"/>
    <w:basedOn w:val="DefaultParagraphFont"/>
    <w:link w:val="Heading3"/>
    <w:uiPriority w:val="1"/>
    <w:rsid w:val="000723BD"/>
    <w:rPr>
      <w:rFonts w:ascii="Calibri" w:eastAsia="Calibri" w:hAnsi="Calibri" w:cs="Calibri"/>
      <w:b/>
      <w:bCs/>
      <w:sz w:val="20"/>
      <w:szCs w:val="20"/>
      <w:lang w:bidi="en-US"/>
    </w:rPr>
  </w:style>
  <w:style w:type="paragraph" w:styleId="BodyText">
    <w:name w:val="Body Text"/>
    <w:basedOn w:val="Normal"/>
    <w:link w:val="BodyTextChar"/>
    <w:uiPriority w:val="1"/>
    <w:qFormat/>
    <w:rsid w:val="000723BD"/>
    <w:rPr>
      <w:sz w:val="20"/>
      <w:szCs w:val="20"/>
    </w:rPr>
  </w:style>
  <w:style w:type="character" w:customStyle="1" w:styleId="BodyTextChar">
    <w:name w:val="Body Text Char"/>
    <w:basedOn w:val="DefaultParagraphFont"/>
    <w:link w:val="BodyText"/>
    <w:uiPriority w:val="1"/>
    <w:rsid w:val="000723BD"/>
    <w:rPr>
      <w:rFonts w:ascii="Calibri" w:eastAsia="Calibri" w:hAnsi="Calibri" w:cs="Calibri"/>
      <w:sz w:val="20"/>
      <w:szCs w:val="20"/>
      <w:lang w:bidi="en-US"/>
    </w:rPr>
  </w:style>
  <w:style w:type="paragraph" w:styleId="ListParagraph">
    <w:name w:val="List Paragraph"/>
    <w:basedOn w:val="Normal"/>
    <w:uiPriority w:val="34"/>
    <w:qFormat/>
    <w:rsid w:val="000723BD"/>
    <w:pPr>
      <w:ind w:left="1080" w:hanging="360"/>
    </w:pPr>
  </w:style>
  <w:style w:type="paragraph" w:styleId="NoSpacing">
    <w:name w:val="No Spacing"/>
    <w:link w:val="NoSpacingChar"/>
    <w:uiPriority w:val="1"/>
    <w:qFormat/>
    <w:rsid w:val="003F7247"/>
    <w:pPr>
      <w:widowControl w:val="0"/>
      <w:autoSpaceDE w:val="0"/>
      <w:autoSpaceDN w:val="0"/>
      <w:spacing w:after="0" w:line="240" w:lineRule="auto"/>
    </w:pPr>
    <w:rPr>
      <w:rFonts w:ascii="Calibri" w:eastAsia="Calibri" w:hAnsi="Calibri" w:cs="Calibri"/>
      <w:lang w:bidi="en-US"/>
    </w:rPr>
  </w:style>
  <w:style w:type="paragraph" w:customStyle="1" w:styleId="TableParagraph">
    <w:name w:val="Table Paragraph"/>
    <w:basedOn w:val="Normal"/>
    <w:uiPriority w:val="1"/>
    <w:qFormat/>
    <w:rsid w:val="00C90E6F"/>
    <w:pPr>
      <w:spacing w:line="243" w:lineRule="exact"/>
      <w:jc w:val="right"/>
    </w:pPr>
  </w:style>
  <w:style w:type="character" w:styleId="Hyperlink">
    <w:name w:val="Hyperlink"/>
    <w:basedOn w:val="DefaultParagraphFont"/>
    <w:uiPriority w:val="99"/>
    <w:unhideWhenUsed/>
    <w:rsid w:val="00CF68B2"/>
    <w:rPr>
      <w:color w:val="0563C1" w:themeColor="hyperlink"/>
      <w:u w:val="single"/>
    </w:rPr>
  </w:style>
  <w:style w:type="character" w:customStyle="1" w:styleId="Heading2Char">
    <w:name w:val="Heading 2 Char"/>
    <w:basedOn w:val="DefaultParagraphFont"/>
    <w:link w:val="Heading2"/>
    <w:uiPriority w:val="9"/>
    <w:semiHidden/>
    <w:rsid w:val="00CF68B2"/>
    <w:rPr>
      <w:rFonts w:asciiTheme="majorHAnsi" w:eastAsiaTheme="majorEastAsia" w:hAnsiTheme="majorHAnsi" w:cstheme="majorBidi"/>
      <w:color w:val="2E74B5" w:themeColor="accent1" w:themeShade="BF"/>
      <w:sz w:val="26"/>
      <w:szCs w:val="26"/>
      <w:lang w:bidi="en-US"/>
    </w:rPr>
  </w:style>
  <w:style w:type="paragraph" w:styleId="BalloonText">
    <w:name w:val="Balloon Text"/>
    <w:basedOn w:val="Normal"/>
    <w:link w:val="BalloonTextChar"/>
    <w:uiPriority w:val="99"/>
    <w:semiHidden/>
    <w:unhideWhenUsed/>
    <w:rsid w:val="00F50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6D1"/>
    <w:rPr>
      <w:rFonts w:ascii="Segoe UI" w:eastAsia="Calibri" w:hAnsi="Segoe UI" w:cs="Segoe UI"/>
      <w:sz w:val="18"/>
      <w:szCs w:val="18"/>
      <w:lang w:bidi="en-US"/>
    </w:rPr>
  </w:style>
  <w:style w:type="character" w:customStyle="1" w:styleId="NoSpacingChar">
    <w:name w:val="No Spacing Char"/>
    <w:basedOn w:val="DefaultParagraphFont"/>
    <w:link w:val="NoSpacing"/>
    <w:uiPriority w:val="1"/>
    <w:rsid w:val="004B39B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FD0C-A8EC-4131-B466-60125411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Supplement, Not Supplant Requirements under ESSA</vt:lpstr>
    </vt:vector>
  </TitlesOfParts>
  <Company>Alabama Department of Education</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Not Supplant Requirements under ESSA</dc:title>
  <dc:subject/>
  <dc:creator>Turner Julie</dc:creator>
  <cp:keywords/>
  <dc:description/>
  <cp:lastModifiedBy>Barnes Sherlisa</cp:lastModifiedBy>
  <cp:revision>2</cp:revision>
  <cp:lastPrinted>2018-06-13T20:24:00Z</cp:lastPrinted>
  <dcterms:created xsi:type="dcterms:W3CDTF">2018-09-05T22:05:00Z</dcterms:created>
  <dcterms:modified xsi:type="dcterms:W3CDTF">2018-09-05T22:05:00Z</dcterms:modified>
</cp:coreProperties>
</file>