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F5" w:rsidRDefault="00666CF5" w:rsidP="00666CF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Non-Public</w:t>
      </w:r>
      <w:r w:rsidRPr="005124F5">
        <w:rPr>
          <w:rFonts w:ascii="Bookman Old Style" w:hAnsi="Bookman Old Style"/>
          <w:b/>
        </w:rPr>
        <w:t xml:space="preserve"> </w:t>
      </w:r>
      <w:smartTag w:uri="urn:schemas-microsoft-com:office:smarttags" w:element="PlaceType">
        <w:r w:rsidRPr="005124F5">
          <w:rPr>
            <w:rFonts w:ascii="Bookman Old Style" w:hAnsi="Bookman Old Style"/>
            <w:b/>
          </w:rPr>
          <w:t>School</w:t>
        </w:r>
      </w:smartTag>
      <w:r w:rsidRPr="005124F5">
        <w:rPr>
          <w:rFonts w:ascii="Bookman Old Style" w:hAnsi="Bookman Old Style"/>
          <w:b/>
        </w:rPr>
        <w:t xml:space="preserve"> Consultation Reminders:</w:t>
      </w:r>
    </w:p>
    <w:p w:rsidR="00666CF5" w:rsidRPr="005124F5" w:rsidRDefault="00666CF5" w:rsidP="00666CF5">
      <w:pPr>
        <w:jc w:val="center"/>
        <w:rPr>
          <w:rFonts w:ascii="Bookman Old Style" w:hAnsi="Bookman Old Style"/>
          <w:b/>
        </w:rPr>
      </w:pPr>
    </w:p>
    <w:p w:rsidR="00666CF5" w:rsidRPr="001E4AE6" w:rsidRDefault="00666CF5" w:rsidP="00666CF5">
      <w:pPr>
        <w:rPr>
          <w:rFonts w:ascii="Bookman Old Style" w:hAnsi="Bookman Old Style"/>
          <w:sz w:val="22"/>
          <w:szCs w:val="22"/>
        </w:rPr>
      </w:pPr>
    </w:p>
    <w:p w:rsidR="00666CF5" w:rsidRPr="001E4AE6" w:rsidRDefault="00666CF5" w:rsidP="00365D78">
      <w:pPr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1E4AE6">
        <w:rPr>
          <w:rFonts w:ascii="Bookman Old Style" w:hAnsi="Bookman Old Style"/>
          <w:sz w:val="22"/>
          <w:szCs w:val="22"/>
        </w:rPr>
        <w:t xml:space="preserve">Consultation is an “ongoing” process.  LEAs must “invite” non-public school </w:t>
      </w:r>
      <w:r>
        <w:rPr>
          <w:rFonts w:ascii="Bookman Old Style" w:hAnsi="Bookman Old Style"/>
          <w:sz w:val="22"/>
          <w:szCs w:val="22"/>
        </w:rPr>
        <w:t xml:space="preserve">officials </w:t>
      </w:r>
      <w:r w:rsidRPr="001E4AE6">
        <w:rPr>
          <w:rFonts w:ascii="Bookman Old Style" w:hAnsi="Bookman Old Style"/>
          <w:sz w:val="22"/>
          <w:szCs w:val="22"/>
        </w:rPr>
        <w:t>prior to making LEA decisions regarding the use of federal funds</w:t>
      </w:r>
    </w:p>
    <w:p w:rsidR="00666CF5" w:rsidRPr="001E4AE6" w:rsidRDefault="00666CF5" w:rsidP="00365D78">
      <w:pPr>
        <w:jc w:val="both"/>
        <w:rPr>
          <w:rFonts w:ascii="Bookman Old Style" w:hAnsi="Bookman Old Style"/>
          <w:sz w:val="22"/>
          <w:szCs w:val="22"/>
        </w:rPr>
      </w:pPr>
    </w:p>
    <w:p w:rsidR="00666CF5" w:rsidRPr="00F41405" w:rsidRDefault="00666CF5" w:rsidP="00365D78">
      <w:pPr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 w:rsidRPr="00F41405">
        <w:rPr>
          <w:rFonts w:ascii="Bookman Old Style" w:hAnsi="Bookman Old Style"/>
          <w:sz w:val="22"/>
          <w:szCs w:val="22"/>
        </w:rPr>
        <w:t xml:space="preserve">Consultation must include means to determine non-public school student poverty identification, availability of services, types of services to be rendered, assessment options, and evaluation information.  A complete list of requirements for consultation can be found in the </w:t>
      </w:r>
      <w:r>
        <w:rPr>
          <w:rFonts w:ascii="Bookman Old Style" w:hAnsi="Bookman Old Style"/>
          <w:sz w:val="22"/>
          <w:szCs w:val="22"/>
        </w:rPr>
        <w:t xml:space="preserve">  </w:t>
      </w:r>
      <w:r w:rsidRPr="00F41405">
        <w:rPr>
          <w:rFonts w:ascii="Bookman Old Style" w:hAnsi="Bookman Old Style"/>
          <w:sz w:val="22"/>
          <w:szCs w:val="22"/>
        </w:rPr>
        <w:t>“</w:t>
      </w:r>
      <w:r w:rsidRPr="00F41405">
        <w:rPr>
          <w:rFonts w:ascii="Bookman Old Style" w:hAnsi="Bookman Old Style"/>
          <w:i/>
          <w:sz w:val="22"/>
          <w:szCs w:val="22"/>
        </w:rPr>
        <w:t>Title IX, Part E Uniform Provisions Subpart 1 – Private School</w:t>
      </w:r>
      <w:r>
        <w:rPr>
          <w:rFonts w:ascii="Bookman Old Style" w:hAnsi="Bookman Old Style"/>
          <w:i/>
          <w:sz w:val="22"/>
          <w:szCs w:val="22"/>
        </w:rPr>
        <w:t>s, March 2009,” Section D, pages 3 – 9. (</w:t>
      </w:r>
      <w:proofErr w:type="spellStart"/>
      <w:r>
        <w:rPr>
          <w:rFonts w:ascii="Bookman Old Style" w:hAnsi="Bookman Old Style"/>
          <w:i/>
          <w:sz w:val="22"/>
          <w:szCs w:val="22"/>
        </w:rPr>
        <w:t>eGAP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Document Library, Non-Public Schools)</w:t>
      </w:r>
    </w:p>
    <w:p w:rsidR="00666CF5" w:rsidRPr="00F41405" w:rsidRDefault="00666CF5" w:rsidP="00365D78">
      <w:pPr>
        <w:ind w:left="720"/>
        <w:jc w:val="both"/>
        <w:rPr>
          <w:rFonts w:ascii="Bookman Old Style" w:hAnsi="Bookman Old Style"/>
          <w:sz w:val="22"/>
          <w:szCs w:val="22"/>
        </w:rPr>
      </w:pPr>
    </w:p>
    <w:p w:rsidR="00666CF5" w:rsidRPr="001E4AE6" w:rsidRDefault="00666CF5" w:rsidP="00365D78">
      <w:pPr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 w:rsidRPr="001E4AE6">
        <w:rPr>
          <w:rFonts w:ascii="Bookman Old Style" w:hAnsi="Bookman Old Style"/>
          <w:sz w:val="22"/>
          <w:szCs w:val="22"/>
        </w:rPr>
        <w:t>Timely and meaningful consultation must be documented throughout the ong</w:t>
      </w:r>
      <w:r>
        <w:rPr>
          <w:rFonts w:ascii="Bookman Old Style" w:hAnsi="Bookman Old Style"/>
          <w:sz w:val="22"/>
          <w:szCs w:val="22"/>
        </w:rPr>
        <w:t xml:space="preserve">oing process.  A sample of the </w:t>
      </w:r>
      <w:r w:rsidRPr="001E4AE6">
        <w:rPr>
          <w:rFonts w:ascii="Bookman Old Style" w:hAnsi="Bookman Old Style"/>
          <w:sz w:val="22"/>
          <w:szCs w:val="22"/>
        </w:rPr>
        <w:t xml:space="preserve">“Affirmation of Consultation Letter,” which can be modified to meet the needs of the LEA can be found in the </w:t>
      </w:r>
      <w:proofErr w:type="spellStart"/>
      <w:r>
        <w:rPr>
          <w:rFonts w:ascii="Bookman Old Style" w:hAnsi="Bookman Old Style"/>
          <w:sz w:val="22"/>
          <w:szCs w:val="22"/>
        </w:rPr>
        <w:t>eGAP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i/>
          <w:sz w:val="22"/>
          <w:szCs w:val="22"/>
        </w:rPr>
        <w:t>Document Library, Non-Public Schools.</w:t>
      </w:r>
      <w:r w:rsidRPr="001E4AE6">
        <w:rPr>
          <w:rFonts w:ascii="Bookman Old Style" w:hAnsi="Bookman Old Style"/>
          <w:i/>
          <w:sz w:val="22"/>
          <w:szCs w:val="22"/>
        </w:rPr>
        <w:t xml:space="preserve">  </w:t>
      </w:r>
    </w:p>
    <w:p w:rsidR="00666CF5" w:rsidRPr="001E4AE6" w:rsidRDefault="00666CF5" w:rsidP="00365D78">
      <w:pPr>
        <w:jc w:val="both"/>
        <w:rPr>
          <w:rFonts w:ascii="Bookman Old Style" w:hAnsi="Bookman Old Style"/>
          <w:sz w:val="22"/>
          <w:szCs w:val="22"/>
        </w:rPr>
      </w:pPr>
    </w:p>
    <w:p w:rsidR="00666CF5" w:rsidRPr="001E4AE6" w:rsidRDefault="00666CF5" w:rsidP="00365D78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Bookman Old Style" w:hAnsi="Bookman Old Style"/>
          <w:sz w:val="22"/>
          <w:szCs w:val="22"/>
        </w:rPr>
      </w:pPr>
      <w:r w:rsidRPr="001E4AE6">
        <w:rPr>
          <w:rFonts w:ascii="Bookman Old Style" w:hAnsi="Bookman Old Style"/>
          <w:sz w:val="22"/>
          <w:szCs w:val="22"/>
        </w:rPr>
        <w:t xml:space="preserve">ALL non-public schools </w:t>
      </w:r>
      <w:r w:rsidRPr="004041BE">
        <w:rPr>
          <w:rFonts w:ascii="Bookman Old Style" w:hAnsi="Bookman Old Style"/>
          <w:b/>
          <w:sz w:val="22"/>
          <w:szCs w:val="22"/>
          <w:u w:val="single"/>
        </w:rPr>
        <w:t>within the geographic boundaries of the LEA must be contacted.</w:t>
      </w:r>
      <w:r w:rsidRPr="008C0D91">
        <w:rPr>
          <w:rFonts w:ascii="Bookman Old Style" w:hAnsi="Bookman Old Style"/>
          <w:sz w:val="22"/>
          <w:szCs w:val="22"/>
          <w:u w:val="single"/>
        </w:rPr>
        <w:t xml:space="preserve"> </w:t>
      </w:r>
      <w:r w:rsidRPr="001E4AE6">
        <w:rPr>
          <w:rFonts w:ascii="Bookman Old Style" w:hAnsi="Bookman Old Style"/>
          <w:sz w:val="22"/>
          <w:szCs w:val="22"/>
        </w:rPr>
        <w:t xml:space="preserve"> For Title I purposes, the “services are linked to where the student </w:t>
      </w:r>
      <w:r>
        <w:rPr>
          <w:rFonts w:ascii="Bookman Old Style" w:hAnsi="Bookman Old Style"/>
          <w:sz w:val="22"/>
          <w:szCs w:val="22"/>
        </w:rPr>
        <w:t xml:space="preserve">lives and “would have </w:t>
      </w:r>
      <w:r w:rsidRPr="001E4AE6">
        <w:rPr>
          <w:rFonts w:ascii="Bookman Old Style" w:hAnsi="Bookman Old Style"/>
          <w:sz w:val="22"/>
          <w:szCs w:val="22"/>
        </w:rPr>
        <w:t>attend</w:t>
      </w:r>
      <w:r>
        <w:rPr>
          <w:rFonts w:ascii="Bookman Old Style" w:hAnsi="Bookman Old Style"/>
          <w:sz w:val="22"/>
          <w:szCs w:val="22"/>
        </w:rPr>
        <w:t>ed</w:t>
      </w:r>
      <w:r w:rsidRPr="001E4AE6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the zoned</w:t>
      </w:r>
      <w:r w:rsidR="002F3D9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Title I </w:t>
      </w:r>
      <w:r w:rsidRPr="001E4AE6">
        <w:rPr>
          <w:rFonts w:ascii="Bookman Old Style" w:hAnsi="Bookman Old Style"/>
          <w:sz w:val="22"/>
          <w:szCs w:val="22"/>
        </w:rPr>
        <w:t>non-publ</w:t>
      </w:r>
      <w:r>
        <w:rPr>
          <w:rFonts w:ascii="Bookman Old Style" w:hAnsi="Bookman Old Style"/>
          <w:sz w:val="22"/>
          <w:szCs w:val="22"/>
        </w:rPr>
        <w:t xml:space="preserve">ic school.”  </w:t>
      </w:r>
      <w:r w:rsidRPr="004041BE">
        <w:rPr>
          <w:rFonts w:ascii="Bookman Old Style" w:hAnsi="Bookman Old Style"/>
          <w:b/>
          <w:sz w:val="22"/>
          <w:szCs w:val="22"/>
        </w:rPr>
        <w:t>For Title II and III purposes, the “services are linked to the location of the non-public school.”</w:t>
      </w:r>
    </w:p>
    <w:p w:rsidR="00666CF5" w:rsidRPr="001E4AE6" w:rsidRDefault="00666CF5" w:rsidP="00365D78">
      <w:pPr>
        <w:jc w:val="both"/>
        <w:rPr>
          <w:rFonts w:ascii="Bookman Old Style" w:hAnsi="Bookman Old Style"/>
          <w:sz w:val="22"/>
          <w:szCs w:val="22"/>
        </w:rPr>
      </w:pPr>
    </w:p>
    <w:p w:rsidR="00666CF5" w:rsidRDefault="00666CF5" w:rsidP="00365D78">
      <w:pPr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1E4AE6">
        <w:rPr>
          <w:rFonts w:ascii="Bookman Old Style" w:hAnsi="Bookman Old Style"/>
          <w:sz w:val="22"/>
          <w:szCs w:val="22"/>
        </w:rPr>
        <w:t xml:space="preserve">If the LEA is aware of students attending a non-public school in another district, the non-public school </w:t>
      </w:r>
      <w:r w:rsidRPr="001E4AE6">
        <w:rPr>
          <w:rFonts w:ascii="Bookman Old Style" w:hAnsi="Bookman Old Style"/>
          <w:sz w:val="22"/>
          <w:szCs w:val="22"/>
        </w:rPr>
        <w:softHyphen/>
      </w:r>
      <w:r w:rsidRPr="001E4AE6">
        <w:rPr>
          <w:rFonts w:ascii="Bookman Old Style" w:hAnsi="Bookman Old Style"/>
          <w:sz w:val="22"/>
          <w:szCs w:val="22"/>
          <w:u w:val="single"/>
        </w:rPr>
        <w:t>should</w:t>
      </w:r>
      <w:r w:rsidRPr="001E4AE6">
        <w:rPr>
          <w:rFonts w:ascii="Bookman Old Style" w:hAnsi="Bookman Old Style"/>
          <w:sz w:val="22"/>
          <w:szCs w:val="22"/>
        </w:rPr>
        <w:t xml:space="preserve"> be c</w:t>
      </w:r>
      <w:r>
        <w:rPr>
          <w:rFonts w:ascii="Bookman Old Style" w:hAnsi="Bookman Old Style"/>
          <w:sz w:val="22"/>
          <w:szCs w:val="22"/>
        </w:rPr>
        <w:t>ontacted regarding that student’s eligibility, the possibility of him/her receiving services.  Even if the student is in another LEA, the initial poverty requirements and subsequent multi-criteria selection is still applicable.</w:t>
      </w:r>
    </w:p>
    <w:p w:rsidR="00666CF5" w:rsidRDefault="00666CF5" w:rsidP="00365D78">
      <w:pPr>
        <w:jc w:val="both"/>
        <w:rPr>
          <w:rFonts w:ascii="Bookman Old Style" w:hAnsi="Bookman Old Style"/>
          <w:sz w:val="22"/>
          <w:szCs w:val="22"/>
        </w:rPr>
      </w:pPr>
    </w:p>
    <w:p w:rsidR="00666CF5" w:rsidRPr="007B7B38" w:rsidRDefault="00666CF5" w:rsidP="00365D78">
      <w:pPr>
        <w:numPr>
          <w:ilvl w:val="2"/>
          <w:numId w:val="1"/>
        </w:numPr>
        <w:jc w:val="both"/>
        <w:rPr>
          <w:rFonts w:ascii="Bookman Old Style" w:hAnsi="Bookman Old Style"/>
          <w:i/>
          <w:sz w:val="22"/>
          <w:szCs w:val="22"/>
        </w:rPr>
      </w:pPr>
      <w:r w:rsidRPr="007B7B38">
        <w:rPr>
          <w:rFonts w:ascii="Bookman Old Style" w:hAnsi="Bookman Old Style"/>
          <w:i/>
          <w:sz w:val="22"/>
          <w:szCs w:val="22"/>
        </w:rPr>
        <w:t>NOTE:  Providing services to Title I eligible students attending non-public school in another district is a Title I requirement only.</w:t>
      </w:r>
    </w:p>
    <w:p w:rsidR="00666CF5" w:rsidRPr="007B7B38" w:rsidRDefault="00666CF5" w:rsidP="00365D78">
      <w:pPr>
        <w:jc w:val="both"/>
        <w:rPr>
          <w:rFonts w:ascii="Bookman Old Style" w:hAnsi="Bookman Old Style"/>
          <w:i/>
          <w:sz w:val="22"/>
          <w:szCs w:val="22"/>
        </w:rPr>
      </w:pPr>
    </w:p>
    <w:p w:rsidR="00666CF5" w:rsidRPr="008C0D91" w:rsidRDefault="00666CF5" w:rsidP="00365D78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Bookman Old Style" w:hAnsi="Bookman Old Style"/>
          <w:sz w:val="22"/>
          <w:szCs w:val="22"/>
        </w:rPr>
      </w:pPr>
      <w:r w:rsidRPr="001E4AE6">
        <w:rPr>
          <w:rFonts w:ascii="Bookman Old Style" w:hAnsi="Bookman Old Style"/>
          <w:i/>
          <w:sz w:val="22"/>
          <w:szCs w:val="22"/>
        </w:rPr>
        <w:t xml:space="preserve">Initial contact / consultation should begin </w:t>
      </w:r>
      <w:r>
        <w:rPr>
          <w:rFonts w:ascii="Bookman Old Style" w:hAnsi="Bookman Old Style"/>
          <w:i/>
          <w:sz w:val="22"/>
          <w:szCs w:val="22"/>
        </w:rPr>
        <w:t>in the</w:t>
      </w:r>
      <w:r w:rsidRPr="001E4AE6">
        <w:rPr>
          <w:rFonts w:ascii="Bookman Old Style" w:hAnsi="Bookman Old Style"/>
          <w:i/>
          <w:sz w:val="22"/>
          <w:szCs w:val="22"/>
        </w:rPr>
        <w:t xml:space="preserve"> sprin</w:t>
      </w:r>
      <w:r>
        <w:rPr>
          <w:rFonts w:ascii="Bookman Old Style" w:hAnsi="Bookman Old Style"/>
          <w:i/>
          <w:sz w:val="22"/>
          <w:szCs w:val="22"/>
        </w:rPr>
        <w:t xml:space="preserve">g of each year.  </w:t>
      </w:r>
      <w:r w:rsidRPr="001E4AE6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 xml:space="preserve">The LEA should correspond with each non-public school to determine if they want to participate with </w:t>
      </w:r>
      <w:r w:rsidR="00365D78">
        <w:rPr>
          <w:rFonts w:ascii="Bookman Old Style" w:hAnsi="Bookman Old Style"/>
          <w:sz w:val="22"/>
          <w:szCs w:val="22"/>
        </w:rPr>
        <w:t>f</w:t>
      </w:r>
      <w:r>
        <w:rPr>
          <w:rFonts w:ascii="Bookman Old Style" w:hAnsi="Bookman Old Style"/>
          <w:sz w:val="22"/>
          <w:szCs w:val="22"/>
        </w:rPr>
        <w:t>ederal funds.  The “L</w:t>
      </w:r>
      <w:r w:rsidRPr="001E4AE6">
        <w:rPr>
          <w:rFonts w:ascii="Bookman Old Style" w:hAnsi="Bookman Old Style"/>
          <w:sz w:val="22"/>
          <w:szCs w:val="22"/>
        </w:rPr>
        <w:t xml:space="preserve">etter of </w:t>
      </w:r>
      <w:r>
        <w:rPr>
          <w:rFonts w:ascii="Bookman Old Style" w:hAnsi="Bookman Old Style"/>
          <w:sz w:val="22"/>
          <w:szCs w:val="22"/>
        </w:rPr>
        <w:t xml:space="preserve">Intent to Participate” </w:t>
      </w:r>
      <w:r w:rsidRPr="001E4AE6">
        <w:rPr>
          <w:rFonts w:ascii="Bookman Old Style" w:hAnsi="Bookman Old Style"/>
          <w:sz w:val="22"/>
          <w:szCs w:val="22"/>
        </w:rPr>
        <w:t>should explain which fund sources the LEA participates in and the purpose of each fund source.</w:t>
      </w:r>
      <w:r>
        <w:rPr>
          <w:rFonts w:ascii="Bookman Old Style" w:hAnsi="Bookman Old Style"/>
          <w:sz w:val="22"/>
          <w:szCs w:val="22"/>
        </w:rPr>
        <w:t xml:space="preserve">  It needs to also include the Non-Public school “Right to Complain” procedure. </w:t>
      </w:r>
      <w:r w:rsidRPr="001E4AE6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 xml:space="preserve">A sample letter of Intent to Participate is available in the </w:t>
      </w:r>
      <w:proofErr w:type="spellStart"/>
      <w:r w:rsidRPr="00666CF5">
        <w:rPr>
          <w:rFonts w:ascii="Bookman Old Style" w:hAnsi="Bookman Old Style"/>
          <w:i/>
          <w:sz w:val="22"/>
          <w:szCs w:val="22"/>
        </w:rPr>
        <w:t>eGAP</w:t>
      </w:r>
      <w:proofErr w:type="spellEnd"/>
      <w:r w:rsidRPr="00666CF5">
        <w:rPr>
          <w:rFonts w:ascii="Bookman Old Style" w:hAnsi="Bookman Old Style"/>
          <w:i/>
          <w:sz w:val="22"/>
          <w:szCs w:val="22"/>
        </w:rPr>
        <w:t xml:space="preserve"> Document Library, Non-Public Schools, </w:t>
      </w:r>
      <w:r>
        <w:rPr>
          <w:rFonts w:ascii="Bookman Old Style" w:hAnsi="Bookman Old Style"/>
          <w:sz w:val="22"/>
          <w:szCs w:val="22"/>
        </w:rPr>
        <w:t>as well as in the Non-Regulatory Guidance, 2009.</w:t>
      </w:r>
    </w:p>
    <w:p w:rsidR="00666CF5" w:rsidRPr="008C0D91" w:rsidRDefault="00666CF5" w:rsidP="00365D78">
      <w:pPr>
        <w:ind w:left="720"/>
        <w:jc w:val="both"/>
        <w:rPr>
          <w:rFonts w:ascii="Bookman Old Style" w:hAnsi="Bookman Old Style"/>
          <w:sz w:val="22"/>
          <w:szCs w:val="22"/>
        </w:rPr>
      </w:pPr>
    </w:p>
    <w:p w:rsidR="00666CF5" w:rsidRPr="00666CF5" w:rsidRDefault="00666CF5" w:rsidP="00365D78">
      <w:pPr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During the early spring of each year the SDE requests that each LEA complete a Non-Public School Enrollment Survey. This survey addresses student counts for Title I-C, Migrant, Title II</w:t>
      </w:r>
      <w:r w:rsidR="00365D78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and Title III.  Title </w:t>
      </w:r>
      <w:proofErr w:type="gramStart"/>
      <w:r>
        <w:rPr>
          <w:rFonts w:ascii="Bookman Old Style" w:hAnsi="Bookman Old Style"/>
          <w:sz w:val="22"/>
          <w:szCs w:val="22"/>
        </w:rPr>
        <w:t>I</w:t>
      </w:r>
      <w:proofErr w:type="gramEnd"/>
      <w:r>
        <w:rPr>
          <w:rFonts w:ascii="Bookman Old Style" w:hAnsi="Bookman Old Style"/>
          <w:sz w:val="22"/>
          <w:szCs w:val="22"/>
        </w:rPr>
        <w:t xml:space="preserve"> student counts will need to be obtained at a later time to address enrollment counts for e-Gap (Consolidated Application).</w:t>
      </w:r>
    </w:p>
    <w:p w:rsidR="00666CF5" w:rsidRDefault="00666CF5" w:rsidP="00365D78">
      <w:pPr>
        <w:ind w:left="720"/>
        <w:jc w:val="both"/>
        <w:rPr>
          <w:rFonts w:ascii="Bookman Old Style" w:hAnsi="Bookman Old Style"/>
          <w:sz w:val="22"/>
          <w:szCs w:val="22"/>
        </w:rPr>
      </w:pPr>
    </w:p>
    <w:p w:rsidR="00666CF5" w:rsidRDefault="00666CF5" w:rsidP="00365D78">
      <w:pPr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The Non-Public School Enrollment Survey, which is sent to your LEA, is due in March of each year.  You will be notified of the exact date.</w:t>
      </w:r>
    </w:p>
    <w:p w:rsidR="00666CF5" w:rsidRPr="001E4AE6" w:rsidRDefault="00666CF5" w:rsidP="00365D78">
      <w:pPr>
        <w:jc w:val="both"/>
        <w:rPr>
          <w:rFonts w:ascii="Bookman Old Style" w:hAnsi="Bookman Old Style"/>
          <w:sz w:val="22"/>
          <w:szCs w:val="22"/>
        </w:rPr>
      </w:pPr>
    </w:p>
    <w:p w:rsidR="00666CF5" w:rsidRDefault="00666CF5" w:rsidP="00365D78">
      <w:pPr>
        <w:numPr>
          <w:ilvl w:val="0"/>
          <w:numId w:val="3"/>
        </w:numPr>
        <w:tabs>
          <w:tab w:val="clear" w:pos="1440"/>
          <w:tab w:val="num" w:pos="540"/>
        </w:tabs>
        <w:ind w:left="540" w:hanging="540"/>
        <w:jc w:val="both"/>
        <w:rPr>
          <w:rFonts w:ascii="Bookman Old Style" w:hAnsi="Bookman Old Style"/>
          <w:sz w:val="22"/>
          <w:szCs w:val="22"/>
        </w:rPr>
      </w:pPr>
      <w:r w:rsidRPr="001E4AE6">
        <w:rPr>
          <w:rFonts w:ascii="Bookman Old Style" w:hAnsi="Bookman Old Style"/>
          <w:sz w:val="22"/>
          <w:szCs w:val="22"/>
        </w:rPr>
        <w:t>The U.S. DOE has published “Ensuring Equitable Services to Private School Children:</w:t>
      </w:r>
      <w:r>
        <w:rPr>
          <w:rFonts w:ascii="Bookman Old Style" w:hAnsi="Bookman Old Style"/>
          <w:sz w:val="22"/>
          <w:szCs w:val="22"/>
        </w:rPr>
        <w:t xml:space="preserve">  A Title I Resource Tool Kit.”  The document can be found and downloaded from </w:t>
      </w:r>
      <w:hyperlink r:id="rId7" w:history="1">
        <w:r w:rsidRPr="001E4AE6">
          <w:rPr>
            <w:rStyle w:val="Hyperlink"/>
            <w:rFonts w:ascii="Bookman Old Style" w:hAnsi="Bookman Old Style"/>
            <w:sz w:val="22"/>
            <w:szCs w:val="22"/>
          </w:rPr>
          <w:t>http://www.ed.gov/programs/titleiparta/ps/titleitoolkit.pdf</w:t>
        </w:r>
      </w:hyperlink>
      <w:r w:rsidRPr="001E4AE6"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sz w:val="22"/>
          <w:szCs w:val="22"/>
        </w:rPr>
        <w:t xml:space="preserve">and is also found in the </w:t>
      </w:r>
      <w:proofErr w:type="spellStart"/>
      <w:r w:rsidRPr="00666CF5">
        <w:rPr>
          <w:rFonts w:ascii="Bookman Old Style" w:hAnsi="Bookman Old Style"/>
          <w:i/>
          <w:sz w:val="22"/>
          <w:szCs w:val="22"/>
        </w:rPr>
        <w:t>eGAP</w:t>
      </w:r>
      <w:proofErr w:type="spellEnd"/>
      <w:r w:rsidRPr="00666CF5">
        <w:rPr>
          <w:rFonts w:ascii="Bookman Old Style" w:hAnsi="Bookman Old Style"/>
          <w:i/>
          <w:sz w:val="22"/>
          <w:szCs w:val="22"/>
        </w:rPr>
        <w:t xml:space="preserve"> Document Library, Non-Public Schools</w:t>
      </w:r>
      <w:r>
        <w:rPr>
          <w:rFonts w:ascii="Bookman Old Style" w:hAnsi="Bookman Old Style"/>
          <w:sz w:val="22"/>
          <w:szCs w:val="22"/>
        </w:rPr>
        <w:t xml:space="preserve">.  </w:t>
      </w:r>
      <w:r w:rsidRPr="001E4AE6">
        <w:rPr>
          <w:rFonts w:ascii="Bookman Old Style" w:hAnsi="Bookman Old Style"/>
          <w:sz w:val="22"/>
          <w:szCs w:val="22"/>
        </w:rPr>
        <w:t xml:space="preserve">The intent of this document is to provide </w:t>
      </w:r>
      <w:r>
        <w:rPr>
          <w:rFonts w:ascii="Bookman Old Style" w:hAnsi="Bookman Old Style"/>
          <w:sz w:val="22"/>
          <w:szCs w:val="22"/>
        </w:rPr>
        <w:lastRenderedPageBreak/>
        <w:t>state departments of education</w:t>
      </w:r>
      <w:r w:rsidRPr="001E4AE6">
        <w:rPr>
          <w:rFonts w:ascii="Bookman Old Style" w:hAnsi="Bookman Old Style"/>
          <w:sz w:val="22"/>
          <w:szCs w:val="22"/>
        </w:rPr>
        <w:t xml:space="preserve"> and LEAs with sample documents and standard guidance when providing services to non-public schools.</w:t>
      </w:r>
    </w:p>
    <w:p w:rsidR="00666CF5" w:rsidRPr="001E4AE6" w:rsidRDefault="00666CF5" w:rsidP="00365D78">
      <w:pPr>
        <w:jc w:val="both"/>
        <w:rPr>
          <w:rFonts w:ascii="Bookman Old Style" w:hAnsi="Bookman Old Style"/>
          <w:sz w:val="22"/>
          <w:szCs w:val="22"/>
        </w:rPr>
      </w:pPr>
    </w:p>
    <w:p w:rsidR="00666CF5" w:rsidRPr="001E4AE6" w:rsidRDefault="00666CF5" w:rsidP="00365D78">
      <w:pPr>
        <w:jc w:val="both"/>
        <w:rPr>
          <w:rFonts w:ascii="Bookman Old Style" w:hAnsi="Bookman Old Style"/>
          <w:sz w:val="22"/>
          <w:szCs w:val="22"/>
        </w:rPr>
      </w:pPr>
    </w:p>
    <w:p w:rsidR="00666CF5" w:rsidRDefault="00666CF5" w:rsidP="00365D78">
      <w:pPr>
        <w:jc w:val="both"/>
        <w:rPr>
          <w:rFonts w:ascii="Bookman Old Style" w:hAnsi="Bookman Old Style"/>
        </w:rPr>
      </w:pPr>
      <w:r w:rsidRPr="00AE67D5">
        <w:rPr>
          <w:noProof/>
        </w:rPr>
        <w:drawing>
          <wp:inline distT="0" distB="0" distL="0" distR="0">
            <wp:extent cx="1143000" cy="600075"/>
            <wp:effectExtent l="0" t="0" r="0" b="9525"/>
            <wp:docPr id="1" name="Picture 1" descr="C:\Users\mrcameron\AppData\Local\Microsoft\Windows\Temporary Internet Files\Content.IE5\40V38KH3\remember-sticky-note-h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cameron\AppData\Local\Microsoft\Windows\Temporary Internet Files\Content.IE5\40V38KH3\remember-sticky-note-hi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CF5" w:rsidRDefault="00666CF5" w:rsidP="00365D78">
      <w:pPr>
        <w:jc w:val="both"/>
        <w:rPr>
          <w:rFonts w:ascii="Bookman Old Style" w:hAnsi="Bookman Old Style"/>
        </w:rPr>
      </w:pPr>
    </w:p>
    <w:p w:rsidR="00CB0FF0" w:rsidRPr="00CB0FF0" w:rsidRDefault="00666CF5" w:rsidP="00CB0FF0">
      <w:pPr>
        <w:numPr>
          <w:ilvl w:val="0"/>
          <w:numId w:val="6"/>
        </w:numPr>
        <w:jc w:val="both"/>
        <w:rPr>
          <w:i/>
        </w:rPr>
      </w:pPr>
      <w:r>
        <w:t xml:space="preserve">Title I, Part A - Provides academic services for Title I eligible non-public school students that reside within a LEA, Title I School geographic boundary.  </w:t>
      </w:r>
      <w:r w:rsidR="00CB0FF0" w:rsidRPr="00CB0FF0">
        <w:rPr>
          <w:rFonts w:ascii="Bookman Old Style" w:hAnsi="Bookman Old Style"/>
          <w:sz w:val="22"/>
          <w:szCs w:val="22"/>
        </w:rPr>
        <w:t>It also p</w:t>
      </w:r>
      <w:r w:rsidR="00CB0FF0" w:rsidRPr="00CB0FF0">
        <w:rPr>
          <w:rFonts w:ascii="Bookman Old Style" w:hAnsi="Bookman Old Style"/>
          <w:sz w:val="22"/>
          <w:szCs w:val="22"/>
        </w:rPr>
        <w:t>rovid</w:t>
      </w:r>
      <w:r w:rsidR="00CB0FF0" w:rsidRPr="00CB0FF0">
        <w:rPr>
          <w:rFonts w:ascii="Bookman Old Style" w:hAnsi="Bookman Old Style"/>
          <w:sz w:val="22"/>
          <w:szCs w:val="22"/>
        </w:rPr>
        <w:t>es</w:t>
      </w:r>
      <w:r w:rsidR="00CB0FF0" w:rsidRPr="00CB0FF0">
        <w:rPr>
          <w:rFonts w:ascii="Bookman Old Style" w:hAnsi="Bookman Old Style"/>
          <w:sz w:val="22"/>
          <w:szCs w:val="22"/>
        </w:rPr>
        <w:t xml:space="preserve"> services to Title I eligible students attending non-public </w:t>
      </w:r>
      <w:r w:rsidR="00CB0FF0" w:rsidRPr="00CB0FF0">
        <w:rPr>
          <w:rFonts w:ascii="Bookman Old Style" w:hAnsi="Bookman Old Style"/>
          <w:sz w:val="22"/>
          <w:szCs w:val="22"/>
        </w:rPr>
        <w:t xml:space="preserve">schools in another district. </w:t>
      </w:r>
    </w:p>
    <w:p w:rsidR="00CB0FF0" w:rsidRPr="00CB0FF0" w:rsidRDefault="00CB0FF0" w:rsidP="00CB0FF0">
      <w:pPr>
        <w:ind w:left="360"/>
        <w:jc w:val="both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4F8F39" wp14:editId="3B36475D">
            <wp:simplePos x="0" y="0"/>
            <wp:positionH relativeFrom="margin">
              <wp:posOffset>2474595</wp:posOffset>
            </wp:positionH>
            <wp:positionV relativeFrom="paragraph">
              <wp:posOffset>46355</wp:posOffset>
            </wp:positionV>
            <wp:extent cx="615315" cy="210820"/>
            <wp:effectExtent l="0" t="0" r="0" b="0"/>
            <wp:wrapTight wrapText="bothSides">
              <wp:wrapPolygon edited="0">
                <wp:start x="0" y="0"/>
                <wp:lineTo x="0" y="19518"/>
                <wp:lineTo x="20731" y="19518"/>
                <wp:lineTo x="20731" y="0"/>
                <wp:lineTo x="0" y="0"/>
              </wp:wrapPolygon>
            </wp:wrapTight>
            <wp:docPr id="2" name="Picture 2" descr="C:\Users\mrcameron\AppData\Local\Microsoft\Windows\Temporary Internet Files\Content.IE5\M2CI4G9R\clip-art-sleeping-1114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cameron\AppData\Local\Microsoft\Windows\Temporary Internet Files\Content.IE5\M2CI4G9R\clip-art-sleeping-111411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FF0">
        <w:rPr>
          <w:i/>
        </w:rPr>
        <w:t>It’s where the child sleeps at night.</w:t>
      </w:r>
    </w:p>
    <w:p w:rsidR="00CB0FF0" w:rsidRPr="00F278ED" w:rsidRDefault="00CB0FF0" w:rsidP="00CB0FF0">
      <w:pPr>
        <w:jc w:val="both"/>
        <w:rPr>
          <w:i/>
        </w:rPr>
      </w:pPr>
    </w:p>
    <w:p w:rsidR="00666CF5" w:rsidRDefault="00666CF5" w:rsidP="00365D78">
      <w:pPr>
        <w:numPr>
          <w:ilvl w:val="0"/>
          <w:numId w:val="6"/>
        </w:numPr>
        <w:jc w:val="both"/>
      </w:pPr>
      <w:r>
        <w:t xml:space="preserve">Title II, Part A – Provides equitable professional development services to non-public school teachers and other educational personnel. </w:t>
      </w:r>
      <w:r w:rsidRPr="00365D78">
        <w:rPr>
          <w:i/>
        </w:rPr>
        <w:t>It</w:t>
      </w:r>
      <w:r w:rsidR="00CB0FF0">
        <w:rPr>
          <w:i/>
        </w:rPr>
        <w:t xml:space="preserve"> is only</w:t>
      </w:r>
      <w:r w:rsidRPr="00365D78">
        <w:rPr>
          <w:i/>
        </w:rPr>
        <w:t xml:space="preserve"> provided by the district in which the non-public school is located.  </w:t>
      </w:r>
    </w:p>
    <w:p w:rsidR="00666CF5" w:rsidRDefault="00666CF5" w:rsidP="00365D78">
      <w:pPr>
        <w:jc w:val="both"/>
      </w:pPr>
    </w:p>
    <w:p w:rsidR="00666CF5" w:rsidRPr="00CB0FF0" w:rsidRDefault="00666CF5" w:rsidP="00365D78">
      <w:pPr>
        <w:numPr>
          <w:ilvl w:val="0"/>
          <w:numId w:val="6"/>
        </w:numPr>
        <w:jc w:val="both"/>
        <w:rPr>
          <w:i/>
        </w:rPr>
      </w:pPr>
      <w:r>
        <w:t xml:space="preserve">Title III – Provides equitable services for non-public school Limited English Proficient (LEP) students by employees of the LEA or through a contract made by the LEA with a third party.  </w:t>
      </w:r>
      <w:r w:rsidRPr="00CB0FF0">
        <w:rPr>
          <w:i/>
        </w:rPr>
        <w:t>LEP students must be given an initial screening and assessed annually for their level of English proficiency.</w:t>
      </w:r>
      <w:r w:rsidR="00CB0FF0">
        <w:rPr>
          <w:i/>
        </w:rPr>
        <w:t xml:space="preserve">  </w:t>
      </w:r>
    </w:p>
    <w:p w:rsidR="00666CF5" w:rsidRDefault="00666CF5" w:rsidP="00365D78">
      <w:pPr>
        <w:jc w:val="both"/>
      </w:pPr>
    </w:p>
    <w:p w:rsidR="00666CF5" w:rsidRDefault="00666CF5" w:rsidP="00365D78">
      <w:pPr>
        <w:numPr>
          <w:ilvl w:val="0"/>
          <w:numId w:val="6"/>
        </w:numPr>
        <w:jc w:val="both"/>
      </w:pPr>
      <w:r>
        <w:t>Title I Part C, Migrant – Provides equitable services for non-public school students that meet the statutory/regulatory definition of a migrant child.</w:t>
      </w:r>
    </w:p>
    <w:p w:rsidR="00666CF5" w:rsidRDefault="00666CF5" w:rsidP="00365D78">
      <w:pPr>
        <w:jc w:val="both"/>
      </w:pPr>
    </w:p>
    <w:p w:rsidR="00666CF5" w:rsidRDefault="00666CF5" w:rsidP="00365D78">
      <w:pPr>
        <w:numPr>
          <w:ilvl w:val="0"/>
          <w:numId w:val="6"/>
        </w:numPr>
        <w:jc w:val="both"/>
        <w:sectPr w:rsidR="00666CF5" w:rsidSect="00365D78">
          <w:headerReference w:type="default" r:id="rId10"/>
          <w:footerReference w:type="default" r:id="rId11"/>
          <w:pgSz w:w="12240" w:h="15840" w:code="1"/>
          <w:pgMar w:top="864" w:right="1152" w:bottom="864" w:left="1152" w:header="576" w:footer="432" w:gutter="0"/>
          <w:cols w:space="720"/>
          <w:docGrid w:linePitch="360"/>
        </w:sectPr>
      </w:pPr>
      <w:r>
        <w:t>Title IV, Part B, 21</w:t>
      </w:r>
      <w:r w:rsidRPr="005D75CC">
        <w:rPr>
          <w:vertAlign w:val="superscript"/>
        </w:rPr>
        <w:t>st</w:t>
      </w:r>
      <w:r>
        <w:t xml:space="preserve"> Century Community Learni</w:t>
      </w:r>
      <w:r w:rsidR="002F3D93">
        <w:t>ng Centers – Competitive Gran</w:t>
      </w:r>
      <w:r w:rsidR="007C572E">
        <w:t>t.</w:t>
      </w:r>
      <w:bookmarkStart w:id="0" w:name="_GoBack"/>
      <w:bookmarkEnd w:id="0"/>
    </w:p>
    <w:p w:rsidR="00C20F09" w:rsidRDefault="007C572E" w:rsidP="007C572E"/>
    <w:sectPr w:rsidR="00C20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CF5" w:rsidRDefault="00666CF5" w:rsidP="00666CF5">
      <w:r>
        <w:separator/>
      </w:r>
    </w:p>
  </w:endnote>
  <w:endnote w:type="continuationSeparator" w:id="0">
    <w:p w:rsidR="00666CF5" w:rsidRDefault="00666CF5" w:rsidP="0066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72E" w:rsidRDefault="007C572E">
    <w:pPr>
      <w:pStyle w:val="Footer"/>
    </w:pPr>
    <w:r>
      <w:t>ALSDE – Federal Programs Section</w:t>
    </w:r>
  </w:p>
  <w:p w:rsidR="007C572E" w:rsidRDefault="007C57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CF5" w:rsidRDefault="00666CF5" w:rsidP="00666CF5">
      <w:r>
        <w:separator/>
      </w:r>
    </w:p>
  </w:footnote>
  <w:footnote w:type="continuationSeparator" w:id="0">
    <w:p w:rsidR="00666CF5" w:rsidRDefault="00666CF5" w:rsidP="00666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72E" w:rsidRDefault="007C572E">
    <w:pPr>
      <w:pStyle w:val="Header"/>
    </w:pPr>
    <w:r>
      <w:ptab w:relativeTo="margin" w:alignment="center" w:leader="none"/>
    </w:r>
    <w:r>
      <w:ptab w:relativeTo="margin" w:alignment="right" w:leader="none"/>
    </w:r>
    <w:r>
      <w:t>Revised May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90F5B"/>
    <w:multiLevelType w:val="hybridMultilevel"/>
    <w:tmpl w:val="B240F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292492"/>
    <w:multiLevelType w:val="hybridMultilevel"/>
    <w:tmpl w:val="D28A76D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A8F42424">
      <w:start w:val="2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AE70D5"/>
    <w:multiLevelType w:val="hybridMultilevel"/>
    <w:tmpl w:val="2B1C3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7D7109"/>
    <w:multiLevelType w:val="hybridMultilevel"/>
    <w:tmpl w:val="0F048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6F6A48"/>
    <w:multiLevelType w:val="hybridMultilevel"/>
    <w:tmpl w:val="0E6478D8"/>
    <w:lvl w:ilvl="0" w:tplc="DF1E075E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5521B"/>
    <w:multiLevelType w:val="hybridMultilevel"/>
    <w:tmpl w:val="EE92D55A"/>
    <w:lvl w:ilvl="0" w:tplc="55E217A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F5"/>
    <w:rsid w:val="00251508"/>
    <w:rsid w:val="002F3D93"/>
    <w:rsid w:val="00315540"/>
    <w:rsid w:val="00365D78"/>
    <w:rsid w:val="00666CF5"/>
    <w:rsid w:val="007C572E"/>
    <w:rsid w:val="00CB0FF0"/>
    <w:rsid w:val="00D6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4D44FD1-87B2-4B53-BA12-8BE1122C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6C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66CF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666CF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6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CF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D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9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5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.gov/programs/titleiparta/ps/titleitoolki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Mary Rose</dc:creator>
  <cp:keywords/>
  <dc:description/>
  <cp:lastModifiedBy>Cameron Mary Rose</cp:lastModifiedBy>
  <cp:revision>2</cp:revision>
  <cp:lastPrinted>2015-05-22T13:16:00Z</cp:lastPrinted>
  <dcterms:created xsi:type="dcterms:W3CDTF">2015-05-21T21:00:00Z</dcterms:created>
  <dcterms:modified xsi:type="dcterms:W3CDTF">2015-05-22T13:16:00Z</dcterms:modified>
</cp:coreProperties>
</file>